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EDBF4" w14:textId="20A66668" w:rsidR="001729F0" w:rsidRPr="002A2E63" w:rsidRDefault="00420598">
      <w:pPr>
        <w:rPr>
          <w:rFonts w:ascii="Times New Roman" w:hAnsi="Times New Roman" w:cs="Times New Roman"/>
        </w:rPr>
      </w:pPr>
      <w:r w:rsidRPr="002A2E63">
        <w:rPr>
          <w:rFonts w:ascii="Times New Roman" w:hAnsi="Times New Roman" w:cs="Times New Roman"/>
        </w:rPr>
        <w:t xml:space="preserve">Ćwiczenia do zajęć nr </w:t>
      </w:r>
      <w:r w:rsidR="002A2E63" w:rsidRPr="002A2E63">
        <w:rPr>
          <w:rFonts w:ascii="Times New Roman" w:hAnsi="Times New Roman" w:cs="Times New Roman"/>
        </w:rPr>
        <w:t>6</w:t>
      </w:r>
      <w:r w:rsidRPr="002A2E63">
        <w:rPr>
          <w:rFonts w:ascii="Times New Roman" w:hAnsi="Times New Roman" w:cs="Times New Roman"/>
        </w:rPr>
        <w:t xml:space="preserve">: </w:t>
      </w:r>
      <w:r w:rsidR="002A2E63" w:rsidRPr="002A2E63">
        <w:rPr>
          <w:rFonts w:ascii="Times New Roman" w:hAnsi="Times New Roman" w:cs="Times New Roman"/>
        </w:rPr>
        <w:t>Redagowanie pism prostym językiem</w:t>
      </w:r>
    </w:p>
    <w:p w14:paraId="2F68C850" w14:textId="77777777" w:rsidR="00420598" w:rsidRPr="002A2E63" w:rsidRDefault="00420598">
      <w:pPr>
        <w:rPr>
          <w:rFonts w:ascii="Times New Roman" w:hAnsi="Times New Roman" w:cs="Times New Roman"/>
        </w:rPr>
      </w:pPr>
    </w:p>
    <w:p w14:paraId="6DB5AECE" w14:textId="20C6F29B" w:rsidR="00420598" w:rsidRPr="002A2E63" w:rsidRDefault="002A2E63" w:rsidP="00420598">
      <w:pPr>
        <w:pStyle w:val="Akapitzlist"/>
        <w:numPr>
          <w:ilvl w:val="0"/>
          <w:numId w:val="1"/>
        </w:numPr>
        <w:rPr>
          <w:rFonts w:ascii="Times New Roman" w:hAnsi="Times New Roman" w:cs="Times New Roman"/>
        </w:rPr>
      </w:pPr>
      <w:r w:rsidRPr="002A2E63">
        <w:rPr>
          <w:rFonts w:ascii="Times New Roman" w:hAnsi="Times New Roman" w:cs="Times New Roman"/>
        </w:rPr>
        <w:t>Spróbuj przekształcić poniższy fragment artykułu naukowego tak, aby był zrozumiały dla osoby niezwiązanej z prawem.</w:t>
      </w:r>
    </w:p>
    <w:p w14:paraId="7938E411" w14:textId="77777777" w:rsidR="002A2E63" w:rsidRPr="002A2E63" w:rsidRDefault="002A2E63" w:rsidP="002A2E63">
      <w:pPr>
        <w:spacing w:line="360" w:lineRule="auto"/>
        <w:jc w:val="center"/>
        <w:rPr>
          <w:rFonts w:ascii="Times New Roman" w:hAnsi="Times New Roman" w:cs="Times New Roman"/>
        </w:rPr>
      </w:pPr>
    </w:p>
    <w:p w14:paraId="7846C00D" w14:textId="1843B9BA" w:rsidR="002A2E63" w:rsidRPr="002A2E63" w:rsidRDefault="002A2E63" w:rsidP="002A2E63">
      <w:pPr>
        <w:spacing w:line="360" w:lineRule="auto"/>
        <w:rPr>
          <w:rFonts w:ascii="Times New Roman" w:hAnsi="Times New Roman" w:cs="Times New Roman"/>
        </w:rPr>
      </w:pPr>
      <w:r w:rsidRPr="002A2E63">
        <w:rPr>
          <w:rFonts w:ascii="Times New Roman" w:hAnsi="Times New Roman" w:cs="Times New Roman"/>
        </w:rPr>
        <w:t>K. Stępniak, Algorytmy wyszukiwarek internetowych a zniekształcenie woli wyborczej. Wybrane aspekty prawne i technologiczne (fragment)</w:t>
      </w:r>
    </w:p>
    <w:p w14:paraId="2483EF12" w14:textId="77777777" w:rsidR="002A2E63" w:rsidRPr="002A2E63" w:rsidRDefault="002A2E63" w:rsidP="002A2E63">
      <w:pPr>
        <w:pStyle w:val="Akapitzlist"/>
        <w:rPr>
          <w:rFonts w:ascii="Times New Roman" w:hAnsi="Times New Roman" w:cs="Times New Roman"/>
        </w:rPr>
      </w:pPr>
    </w:p>
    <w:p w14:paraId="53FEAA4C" w14:textId="77777777" w:rsidR="002A2E63" w:rsidRPr="002A2E63" w:rsidRDefault="002A2E63" w:rsidP="002A2E63">
      <w:pPr>
        <w:spacing w:line="360" w:lineRule="auto"/>
        <w:ind w:left="360"/>
        <w:jc w:val="both"/>
        <w:rPr>
          <w:rFonts w:ascii="Times New Roman" w:hAnsi="Times New Roman" w:cs="Times New Roman"/>
        </w:rPr>
      </w:pPr>
      <w:r w:rsidRPr="002A2E63">
        <w:rPr>
          <w:rFonts w:ascii="Times New Roman" w:hAnsi="Times New Roman" w:cs="Times New Roman"/>
        </w:rPr>
        <w:t>Krzysztof Skotnicki wśród jednej z funkcji wyborów powszechnym wymienia umożliwienie uprawnionym podmiotom wyrażenie woli wyborczej</w:t>
      </w:r>
      <w:r w:rsidRPr="002A2E63">
        <w:rPr>
          <w:rStyle w:val="Odwoanieprzypisudolnego"/>
          <w:rFonts w:ascii="Times New Roman" w:hAnsi="Times New Roman" w:cs="Times New Roman"/>
        </w:rPr>
        <w:footnoteReference w:id="1"/>
      </w:r>
      <w:r w:rsidRPr="002A2E63">
        <w:rPr>
          <w:rFonts w:ascii="Times New Roman" w:hAnsi="Times New Roman" w:cs="Times New Roman"/>
        </w:rPr>
        <w:t xml:space="preserve">. Grzegorz </w:t>
      </w:r>
      <w:proofErr w:type="spellStart"/>
      <w:r w:rsidRPr="002A2E63">
        <w:rPr>
          <w:rFonts w:ascii="Times New Roman" w:hAnsi="Times New Roman" w:cs="Times New Roman"/>
        </w:rPr>
        <w:t>Kryszeń</w:t>
      </w:r>
      <w:proofErr w:type="spellEnd"/>
      <w:r w:rsidRPr="002A2E63">
        <w:rPr>
          <w:rFonts w:ascii="Times New Roman" w:hAnsi="Times New Roman" w:cs="Times New Roman"/>
        </w:rPr>
        <w:t xml:space="preserve"> słusznie podnosi, że powszechne wybory przeprowadzane w demokratycznym państwie powinny zapewnić każdemu wyborcy możliwość realizacji swoich uprawnień wyborczych bez przymusu fizycznego, psychicznego, a także od wpływu innych czynników zewnętrznych</w:t>
      </w:r>
      <w:r w:rsidRPr="002A2E63">
        <w:rPr>
          <w:rStyle w:val="Odwoanieprzypisudolnego"/>
          <w:rFonts w:ascii="Times New Roman" w:hAnsi="Times New Roman" w:cs="Times New Roman"/>
        </w:rPr>
        <w:footnoteReference w:id="2"/>
      </w:r>
      <w:r w:rsidRPr="002A2E63">
        <w:rPr>
          <w:rFonts w:ascii="Times New Roman" w:hAnsi="Times New Roman" w:cs="Times New Roman"/>
        </w:rPr>
        <w:t>. Jako wpływ innych czynników zewnętrznych można, w moim przekonaniu, wskazać brak możliwości zrekonstruowania swojej woli wyborczej w oparciu o obiektywne czynniki, przesłanki i informacje. Adam Jamróz uważa, że określenie „wolne wybory” będące konstytucyjną kategorią odnoszącą się do wyborów, obejmuje swoim desygnatem oprócz powszechności, wolności kandydatur, równości, tajności, także wolność kształtowania i uzewnętrzniania woli wyborczej</w:t>
      </w:r>
      <w:r w:rsidRPr="002A2E63">
        <w:rPr>
          <w:rStyle w:val="Odwoanieprzypisudolnego"/>
          <w:rFonts w:ascii="Times New Roman" w:hAnsi="Times New Roman" w:cs="Times New Roman"/>
        </w:rPr>
        <w:footnoteReference w:id="3"/>
      </w:r>
      <w:r w:rsidRPr="002A2E63">
        <w:rPr>
          <w:rFonts w:ascii="Times New Roman" w:hAnsi="Times New Roman" w:cs="Times New Roman"/>
        </w:rPr>
        <w:t>. Widoczna jest zatem korelacja pomiędzy pojęciem „wolnych wyborów”, a możliwością zrekonstruowania swojej „woli wyborczej”. Mariusz Jabłoński wskazuje, że istotą głosowania powszechnego „jest wyrażenie woli wobec konkretnej sprawy dotyczącej funkcjonowania państwa (lub określonego terytorium)” przy czym niezbędne jest „wykreowanie poczucia indywidualnej odpowiedzialności wyrażającego swoją wolę za podejmowane rozstrzygnięcie”</w:t>
      </w:r>
      <w:r w:rsidRPr="002A2E63">
        <w:rPr>
          <w:rStyle w:val="Odwoanieprzypisudolnego"/>
          <w:rFonts w:ascii="Times New Roman" w:hAnsi="Times New Roman" w:cs="Times New Roman"/>
        </w:rPr>
        <w:footnoteReference w:id="4"/>
      </w:r>
      <w:r w:rsidRPr="002A2E63">
        <w:rPr>
          <w:rFonts w:ascii="Times New Roman" w:hAnsi="Times New Roman" w:cs="Times New Roman"/>
        </w:rPr>
        <w:t xml:space="preserve">. </w:t>
      </w:r>
    </w:p>
    <w:p w14:paraId="6BD80EF5" w14:textId="06271CE3" w:rsidR="002A2E63" w:rsidRPr="002A2E63" w:rsidRDefault="002A2E63" w:rsidP="002A2E63">
      <w:pPr>
        <w:spacing w:line="360" w:lineRule="auto"/>
        <w:ind w:left="360"/>
        <w:jc w:val="both"/>
        <w:rPr>
          <w:rFonts w:ascii="Times New Roman" w:hAnsi="Times New Roman" w:cs="Times New Roman"/>
        </w:rPr>
      </w:pPr>
      <w:r w:rsidRPr="002A2E63">
        <w:rPr>
          <w:rFonts w:ascii="Times New Roman" w:hAnsi="Times New Roman" w:cs="Times New Roman"/>
        </w:rPr>
        <w:tab/>
        <w:t>Konieczność wyrażenia przez wyborców w sposób swobodny swojej woli podkreślono również w art. 25 lit. b Międzynarodowego Paktu Praw Obywatelskich i Politycznych otwartego do podpisu w Nowym Jorku dnia 16 grudnia 1966 r.</w:t>
      </w:r>
      <w:r w:rsidRPr="002A2E63">
        <w:rPr>
          <w:rStyle w:val="Odwoanieprzypisudolnego"/>
          <w:rFonts w:ascii="Times New Roman" w:hAnsi="Times New Roman" w:cs="Times New Roman"/>
        </w:rPr>
        <w:footnoteReference w:id="5"/>
      </w:r>
      <w:r w:rsidRPr="002A2E63">
        <w:rPr>
          <w:rFonts w:ascii="Times New Roman" w:hAnsi="Times New Roman" w:cs="Times New Roman"/>
        </w:rPr>
        <w:t xml:space="preserve">, który stanowi, że korzystania z czynnego i biernego prawa wyborczego w rzetelnych wyborach, przeprowadzanych okresowo, opartych na głosowaniu powszechnym, równym i tajnym </w:t>
      </w:r>
      <w:r w:rsidRPr="002A2E63">
        <w:rPr>
          <w:rFonts w:ascii="Times New Roman" w:hAnsi="Times New Roman" w:cs="Times New Roman"/>
        </w:rPr>
        <w:lastRenderedPageBreak/>
        <w:t>gwarantujących wyborcom swobodne wyrażanie woli. Podobną normę możemy odnaleźć w art. 21 ust. 3 Powszechnej Deklaracji Praw Człowieka</w:t>
      </w:r>
      <w:r w:rsidRPr="002A2E63">
        <w:rPr>
          <w:rStyle w:val="Odwoanieprzypisudolnego"/>
          <w:rFonts w:ascii="Times New Roman" w:hAnsi="Times New Roman" w:cs="Times New Roman"/>
        </w:rPr>
        <w:footnoteReference w:id="6"/>
      </w:r>
      <w:r w:rsidRPr="002A2E63">
        <w:rPr>
          <w:rFonts w:ascii="Times New Roman" w:hAnsi="Times New Roman" w:cs="Times New Roman"/>
        </w:rPr>
        <w:t>. Także art. 3 Protokołu nr 1 do Europejskiej Konwencji Praw Człowieka zapewnia prawo do wolnych wyborów</w:t>
      </w:r>
      <w:r w:rsidRPr="002A2E63">
        <w:rPr>
          <w:rStyle w:val="Odwoanieprzypisudolnego"/>
          <w:rFonts w:ascii="Times New Roman" w:hAnsi="Times New Roman" w:cs="Times New Roman"/>
        </w:rPr>
        <w:footnoteReference w:id="7"/>
      </w:r>
      <w:r w:rsidRPr="002A2E63">
        <w:rPr>
          <w:rFonts w:ascii="Times New Roman" w:hAnsi="Times New Roman" w:cs="Times New Roman"/>
        </w:rPr>
        <w:t>.</w:t>
      </w:r>
    </w:p>
    <w:p w14:paraId="5AC2B5AD" w14:textId="77777777" w:rsidR="002A2E63" w:rsidRPr="002A2E63" w:rsidRDefault="002A2E63" w:rsidP="002A2E63">
      <w:pPr>
        <w:spacing w:line="360" w:lineRule="auto"/>
        <w:ind w:left="360"/>
        <w:jc w:val="both"/>
        <w:rPr>
          <w:rFonts w:ascii="Times New Roman" w:hAnsi="Times New Roman" w:cs="Times New Roman"/>
        </w:rPr>
      </w:pPr>
      <w:r w:rsidRPr="002A2E63">
        <w:rPr>
          <w:rFonts w:ascii="Times New Roman" w:hAnsi="Times New Roman" w:cs="Times New Roman"/>
        </w:rPr>
        <w:t xml:space="preserve"> </w:t>
      </w:r>
      <w:r w:rsidRPr="002A2E63">
        <w:rPr>
          <w:rFonts w:ascii="Times New Roman" w:hAnsi="Times New Roman" w:cs="Times New Roman"/>
        </w:rPr>
        <w:tab/>
        <w:t>Jednym z podstawowych założeń przeprowadzania wolnych wyborów jest umożliwienie wyborcy nieskrępowanej możliwości wyrażania swojej preferencji wyborczej</w:t>
      </w:r>
      <w:r w:rsidRPr="002A2E63">
        <w:rPr>
          <w:rStyle w:val="Odwoanieprzypisudolnego"/>
          <w:rFonts w:ascii="Times New Roman" w:hAnsi="Times New Roman" w:cs="Times New Roman"/>
        </w:rPr>
        <w:footnoteReference w:id="8"/>
      </w:r>
      <w:r w:rsidRPr="002A2E63">
        <w:rPr>
          <w:rFonts w:ascii="Times New Roman" w:hAnsi="Times New Roman" w:cs="Times New Roman"/>
        </w:rPr>
        <w:t>. Można ją zdekodować jako pewnego rodzaju wolę wyborcy co do oddania głosu na konkretnego kandydata (lub ugrupowanie), czego rezultatem ma być możliwość wyboru takiej osoby na stanowisko podlegające elekcji</w:t>
      </w:r>
      <w:r w:rsidRPr="002A2E63">
        <w:rPr>
          <w:rStyle w:val="Odwoanieprzypisudolnego"/>
          <w:rFonts w:ascii="Times New Roman" w:hAnsi="Times New Roman" w:cs="Times New Roman"/>
        </w:rPr>
        <w:footnoteReference w:id="9"/>
      </w:r>
      <w:r w:rsidRPr="002A2E63">
        <w:rPr>
          <w:rFonts w:ascii="Times New Roman" w:hAnsi="Times New Roman" w:cs="Times New Roman"/>
        </w:rPr>
        <w:t>.</w:t>
      </w:r>
    </w:p>
    <w:p w14:paraId="7AC0A49B" w14:textId="77777777" w:rsidR="002A2E63" w:rsidRPr="002A2E63" w:rsidRDefault="002A2E63" w:rsidP="002A2E63">
      <w:pPr>
        <w:spacing w:line="360" w:lineRule="auto"/>
        <w:ind w:left="360"/>
        <w:jc w:val="both"/>
        <w:rPr>
          <w:rFonts w:ascii="Times New Roman" w:hAnsi="Times New Roman" w:cs="Times New Roman"/>
        </w:rPr>
      </w:pPr>
      <w:r w:rsidRPr="002A2E63">
        <w:rPr>
          <w:rFonts w:ascii="Times New Roman" w:hAnsi="Times New Roman" w:cs="Times New Roman"/>
        </w:rPr>
        <w:t xml:space="preserve"> </w:t>
      </w:r>
      <w:r w:rsidRPr="002A2E63">
        <w:rPr>
          <w:rFonts w:ascii="Times New Roman" w:hAnsi="Times New Roman" w:cs="Times New Roman"/>
        </w:rPr>
        <w:tab/>
        <w:t>Zapewnienie nieskrępowanego wyrażenia woli wyborczej w postaci preferencji wyborczej jest jedną z podstawowych składowych zasady wolnych wyborów</w:t>
      </w:r>
      <w:r w:rsidRPr="002A2E63">
        <w:rPr>
          <w:rStyle w:val="Odwoanieprzypisudolnego"/>
          <w:rFonts w:ascii="Times New Roman" w:hAnsi="Times New Roman" w:cs="Times New Roman"/>
        </w:rPr>
        <w:footnoteReference w:id="10"/>
      </w:r>
      <w:r w:rsidRPr="002A2E63">
        <w:rPr>
          <w:rFonts w:ascii="Times New Roman" w:hAnsi="Times New Roman" w:cs="Times New Roman"/>
        </w:rPr>
        <w:t>. Bez możliwości nieskrępowanego wyrażenia swojej preferencji wyborczej przez osobę głosującą, nie można mówić o wolnych wyborach w tym znaczeniu, że sam akt głosowania nie jest wyrażeniem preferencji indywidualnej danego wyborcy, ale podlega pewnego rodzaju zniekształceniom, co uniemożliwia odzwierciedlenie faktycznej reprezentacji (zgodnie z wolą Narodu) w organie, do którego były przeprowadzane wybory</w:t>
      </w:r>
      <w:r w:rsidRPr="002A2E63">
        <w:rPr>
          <w:rStyle w:val="Odwoanieprzypisudolnego"/>
          <w:rFonts w:ascii="Times New Roman" w:hAnsi="Times New Roman" w:cs="Times New Roman"/>
        </w:rPr>
        <w:footnoteReference w:id="11"/>
      </w:r>
      <w:r w:rsidRPr="002A2E63">
        <w:rPr>
          <w:rFonts w:ascii="Times New Roman" w:hAnsi="Times New Roman" w:cs="Times New Roman"/>
        </w:rPr>
        <w:t>.</w:t>
      </w:r>
    </w:p>
    <w:p w14:paraId="4B77CAB0" w14:textId="77777777" w:rsidR="002A2E63" w:rsidRPr="002A2E63" w:rsidRDefault="002A2E63" w:rsidP="002A2E63">
      <w:pPr>
        <w:spacing w:line="360" w:lineRule="auto"/>
        <w:ind w:left="360"/>
        <w:jc w:val="both"/>
        <w:rPr>
          <w:rFonts w:ascii="Times New Roman" w:hAnsi="Times New Roman" w:cs="Times New Roman"/>
        </w:rPr>
      </w:pPr>
      <w:r w:rsidRPr="002A2E63">
        <w:rPr>
          <w:rFonts w:ascii="Times New Roman" w:hAnsi="Times New Roman" w:cs="Times New Roman"/>
        </w:rPr>
        <w:t xml:space="preserve"> </w:t>
      </w:r>
      <w:r w:rsidRPr="002A2E63">
        <w:rPr>
          <w:rFonts w:ascii="Times New Roman" w:hAnsi="Times New Roman" w:cs="Times New Roman"/>
        </w:rPr>
        <w:tab/>
        <w:t>Zasadnym zatem wydaje się pytanie, na jakim etapie wola wyborcy może zostać zniekształcona? Analizując literaturę przedmiotu, można wysunąć hipotezę, że takie zdeformowanie woli wyborczej może nastąpić zarówno na etapie formułowania preferencji (na podstawie przesłanek i obiektywnych danych), jak i podczas wyrażania jej podczas procesu wyborczego, a nawet samego aktu głosowania</w:t>
      </w:r>
      <w:r w:rsidRPr="002A2E63">
        <w:rPr>
          <w:rStyle w:val="Odwoanieprzypisudolnego"/>
          <w:rFonts w:ascii="Times New Roman" w:hAnsi="Times New Roman" w:cs="Times New Roman"/>
        </w:rPr>
        <w:footnoteReference w:id="12"/>
      </w:r>
      <w:r w:rsidRPr="002A2E63">
        <w:rPr>
          <w:rFonts w:ascii="Times New Roman" w:hAnsi="Times New Roman" w:cs="Times New Roman"/>
        </w:rPr>
        <w:t>. Piotr Uziębło wskazuje, że formuła wyborów nie powinna prowadzić do zdeformowania rzeczywistych preferencji wyborców</w:t>
      </w:r>
      <w:r w:rsidRPr="002A2E63">
        <w:rPr>
          <w:rStyle w:val="Odwoanieprzypisudolnego"/>
          <w:rFonts w:ascii="Times New Roman" w:hAnsi="Times New Roman" w:cs="Times New Roman"/>
        </w:rPr>
        <w:footnoteReference w:id="13"/>
      </w:r>
      <w:r w:rsidRPr="002A2E63">
        <w:rPr>
          <w:rFonts w:ascii="Times New Roman" w:hAnsi="Times New Roman" w:cs="Times New Roman"/>
        </w:rPr>
        <w:t xml:space="preserve">. Przy czym autor ten podnosi również możliwość stopniowalności takich naruszeń: „nie może być bowiem niekonstytucyjna formuła, która w mniejszym stopniu </w:t>
      </w:r>
      <w:r w:rsidRPr="002A2E63">
        <w:rPr>
          <w:rFonts w:ascii="Times New Roman" w:hAnsi="Times New Roman" w:cs="Times New Roman"/>
        </w:rPr>
        <w:lastRenderedPageBreak/>
        <w:t>deformuje rzeczywiste preferencje wyborców, skoro inna formuła powodująca znacznie większe zniekształcenia funkcjonuje jako legalna”.</w:t>
      </w:r>
    </w:p>
    <w:p w14:paraId="4DA7AFDB" w14:textId="77777777" w:rsidR="002A2E63" w:rsidRDefault="002A2E63" w:rsidP="002A2E63">
      <w:pPr>
        <w:spacing w:line="360" w:lineRule="auto"/>
        <w:ind w:left="360"/>
        <w:jc w:val="both"/>
        <w:rPr>
          <w:rFonts w:ascii="Times New Roman" w:hAnsi="Times New Roman" w:cs="Times New Roman"/>
        </w:rPr>
      </w:pPr>
      <w:r w:rsidRPr="002A2E63">
        <w:rPr>
          <w:rFonts w:ascii="Times New Roman" w:hAnsi="Times New Roman" w:cs="Times New Roman"/>
        </w:rPr>
        <w:t xml:space="preserve"> </w:t>
      </w:r>
      <w:r w:rsidRPr="002A2E63">
        <w:rPr>
          <w:rFonts w:ascii="Times New Roman" w:hAnsi="Times New Roman" w:cs="Times New Roman"/>
        </w:rPr>
        <w:tab/>
        <w:t xml:space="preserve">Z punktu widzenia dokonywania formułowania preferencji wyborczych kluczowa może być działalność algorytmów wyszukiwarek internetowych. Analizy ukazują bowiem, że istnieje możliwość znacznego wpływania na konstruowanie woli wyborców poprzez algorytmy </w:t>
      </w:r>
      <w:proofErr w:type="spellStart"/>
      <w:r w:rsidRPr="002A2E63">
        <w:rPr>
          <w:rFonts w:ascii="Times New Roman" w:hAnsi="Times New Roman" w:cs="Times New Roman"/>
        </w:rPr>
        <w:t>priorytezujące</w:t>
      </w:r>
      <w:proofErr w:type="spellEnd"/>
      <w:r w:rsidRPr="002A2E63">
        <w:rPr>
          <w:rFonts w:ascii="Times New Roman" w:hAnsi="Times New Roman" w:cs="Times New Roman"/>
        </w:rPr>
        <w:t xml:space="preserve"> treść w wyszukiwarkach internetowych</w:t>
      </w:r>
      <w:r w:rsidRPr="002A2E63">
        <w:rPr>
          <w:rStyle w:val="Odwoanieprzypisudolnego"/>
          <w:rFonts w:ascii="Times New Roman" w:hAnsi="Times New Roman" w:cs="Times New Roman"/>
        </w:rPr>
        <w:footnoteReference w:id="14"/>
      </w:r>
      <w:r w:rsidRPr="002A2E63">
        <w:rPr>
          <w:rFonts w:ascii="Times New Roman" w:hAnsi="Times New Roman" w:cs="Times New Roman"/>
        </w:rPr>
        <w:t>.</w:t>
      </w:r>
    </w:p>
    <w:p w14:paraId="5F36AE7A" w14:textId="77777777" w:rsidR="002A2E63" w:rsidRDefault="002A2E63" w:rsidP="002A2E63">
      <w:pPr>
        <w:spacing w:line="360" w:lineRule="auto"/>
        <w:ind w:left="360"/>
        <w:jc w:val="both"/>
        <w:rPr>
          <w:rFonts w:ascii="Times New Roman" w:hAnsi="Times New Roman" w:cs="Times New Roman"/>
        </w:rPr>
      </w:pPr>
    </w:p>
    <w:p w14:paraId="0A7644AB" w14:textId="4DA1668A" w:rsidR="002A2E63" w:rsidRDefault="002A2E63" w:rsidP="002A2E63">
      <w:pPr>
        <w:spacing w:line="360" w:lineRule="auto"/>
        <w:ind w:left="360"/>
        <w:jc w:val="both"/>
        <w:rPr>
          <w:rFonts w:ascii="Times New Roman" w:hAnsi="Times New Roman" w:cs="Times New Roman"/>
        </w:rPr>
      </w:pPr>
      <w:r>
        <w:rPr>
          <w:rFonts w:ascii="Times New Roman" w:hAnsi="Times New Roman" w:cs="Times New Roman"/>
        </w:rPr>
        <w:t>Odpowiedź:</w:t>
      </w:r>
    </w:p>
    <w:p w14:paraId="263205FA" w14:textId="77777777" w:rsidR="002A2E63" w:rsidRDefault="002A2E63" w:rsidP="002A2E63">
      <w:pPr>
        <w:spacing w:line="360" w:lineRule="auto"/>
        <w:ind w:left="360"/>
        <w:jc w:val="both"/>
        <w:rPr>
          <w:rFonts w:ascii="Times New Roman" w:hAnsi="Times New Roman" w:cs="Times New Roman"/>
        </w:rPr>
      </w:pPr>
    </w:p>
    <w:p w14:paraId="1689CD01" w14:textId="126580FB" w:rsidR="002A2E63" w:rsidRDefault="00E10531" w:rsidP="002A2E63">
      <w:pPr>
        <w:pStyle w:val="Akapitzlist"/>
        <w:numPr>
          <w:ilvl w:val="0"/>
          <w:numId w:val="1"/>
        </w:numPr>
        <w:spacing w:line="360" w:lineRule="auto"/>
        <w:jc w:val="both"/>
        <w:rPr>
          <w:rFonts w:ascii="Times New Roman" w:hAnsi="Times New Roman" w:cs="Times New Roman"/>
        </w:rPr>
      </w:pPr>
      <w:r>
        <w:rPr>
          <w:rFonts w:ascii="Times New Roman" w:hAnsi="Times New Roman" w:cs="Times New Roman"/>
        </w:rPr>
        <w:t>Sformułuj 3 tytuły tekstów publicystycznych, które mogłyby zainteresować czytelnika</w:t>
      </w:r>
    </w:p>
    <w:p w14:paraId="5417653B" w14:textId="07A7D46C" w:rsidR="00E10531" w:rsidRDefault="00E10531" w:rsidP="00E10531">
      <w:pPr>
        <w:spacing w:line="360" w:lineRule="auto"/>
        <w:jc w:val="both"/>
        <w:rPr>
          <w:rFonts w:ascii="Times New Roman" w:hAnsi="Times New Roman" w:cs="Times New Roman"/>
        </w:rPr>
      </w:pPr>
      <w:r>
        <w:rPr>
          <w:rFonts w:ascii="Times New Roman" w:hAnsi="Times New Roman" w:cs="Times New Roman"/>
        </w:rPr>
        <w:t>a)</w:t>
      </w:r>
    </w:p>
    <w:p w14:paraId="56EB69B9" w14:textId="199DEA32" w:rsidR="00E10531" w:rsidRDefault="00E10531" w:rsidP="00E10531">
      <w:pPr>
        <w:spacing w:line="360" w:lineRule="auto"/>
        <w:jc w:val="both"/>
        <w:rPr>
          <w:rFonts w:ascii="Times New Roman" w:hAnsi="Times New Roman" w:cs="Times New Roman"/>
        </w:rPr>
      </w:pPr>
      <w:r>
        <w:rPr>
          <w:rFonts w:ascii="Times New Roman" w:hAnsi="Times New Roman" w:cs="Times New Roman"/>
        </w:rPr>
        <w:t>b)</w:t>
      </w:r>
    </w:p>
    <w:p w14:paraId="3DFAD8A6" w14:textId="15895EB6" w:rsidR="00E10531" w:rsidRDefault="00E10531" w:rsidP="00E10531">
      <w:pPr>
        <w:spacing w:line="360" w:lineRule="auto"/>
        <w:jc w:val="both"/>
        <w:rPr>
          <w:rFonts w:ascii="Times New Roman" w:hAnsi="Times New Roman" w:cs="Times New Roman"/>
        </w:rPr>
      </w:pPr>
      <w:r>
        <w:rPr>
          <w:rFonts w:ascii="Times New Roman" w:hAnsi="Times New Roman" w:cs="Times New Roman"/>
        </w:rPr>
        <w:t>c)</w:t>
      </w:r>
    </w:p>
    <w:p w14:paraId="63D3359A" w14:textId="13FC2470" w:rsidR="00E10531" w:rsidRDefault="00E10531" w:rsidP="00E10531">
      <w:pPr>
        <w:pStyle w:val="Akapitzlist"/>
        <w:numPr>
          <w:ilvl w:val="0"/>
          <w:numId w:val="1"/>
        </w:numPr>
        <w:spacing w:line="360" w:lineRule="auto"/>
        <w:jc w:val="both"/>
        <w:rPr>
          <w:rFonts w:ascii="Times New Roman" w:hAnsi="Times New Roman" w:cs="Times New Roman"/>
        </w:rPr>
      </w:pPr>
      <w:r>
        <w:rPr>
          <w:rFonts w:ascii="Times New Roman" w:hAnsi="Times New Roman" w:cs="Times New Roman"/>
        </w:rPr>
        <w:t>Opinia prawna MUSI zawierać</w:t>
      </w:r>
    </w:p>
    <w:p w14:paraId="234D86DD" w14:textId="77777777" w:rsidR="00E10531" w:rsidRPr="00E10531" w:rsidRDefault="00E10531" w:rsidP="00E10531">
      <w:pPr>
        <w:pStyle w:val="Akapitzlist"/>
        <w:rPr>
          <w:rFonts w:ascii="Times New Roman" w:hAnsi="Times New Roman" w:cs="Times New Roman"/>
        </w:rPr>
      </w:pPr>
    </w:p>
    <w:p w14:paraId="07675C53" w14:textId="3865CE42" w:rsidR="00E10531" w:rsidRPr="00E10531" w:rsidRDefault="00E10531" w:rsidP="00E10531">
      <w:pPr>
        <w:pStyle w:val="Akapitzlist"/>
        <w:numPr>
          <w:ilvl w:val="0"/>
          <w:numId w:val="5"/>
        </w:numPr>
        <w:spacing w:line="360" w:lineRule="auto"/>
        <w:jc w:val="both"/>
        <w:rPr>
          <w:rFonts w:ascii="Times New Roman" w:hAnsi="Times New Roman" w:cs="Times New Roman"/>
          <w:b/>
          <w:bCs/>
        </w:rPr>
      </w:pPr>
      <w:r w:rsidRPr="00E10531">
        <w:rPr>
          <w:rFonts w:ascii="Times New Roman" w:hAnsi="Times New Roman" w:cs="Times New Roman"/>
          <w:b/>
          <w:bCs/>
        </w:rPr>
        <w:t>Ustalenia faktyczne</w:t>
      </w:r>
    </w:p>
    <w:p w14:paraId="73458455" w14:textId="61B7AFA3" w:rsidR="00E10531" w:rsidRDefault="00E10531" w:rsidP="00E10531">
      <w:pPr>
        <w:pStyle w:val="Akapitzlist"/>
        <w:numPr>
          <w:ilvl w:val="0"/>
          <w:numId w:val="5"/>
        </w:numPr>
        <w:spacing w:line="360" w:lineRule="auto"/>
        <w:jc w:val="both"/>
        <w:rPr>
          <w:rFonts w:ascii="Times New Roman" w:hAnsi="Times New Roman" w:cs="Times New Roman"/>
        </w:rPr>
      </w:pPr>
      <w:r>
        <w:rPr>
          <w:rFonts w:ascii="Times New Roman" w:hAnsi="Times New Roman" w:cs="Times New Roman"/>
        </w:rPr>
        <w:t>Ustalenia jurydyczne</w:t>
      </w:r>
    </w:p>
    <w:p w14:paraId="6ACDABDF" w14:textId="636FE526" w:rsidR="00E10531" w:rsidRDefault="00E10531" w:rsidP="00E10531">
      <w:pPr>
        <w:pStyle w:val="Akapitzlist"/>
        <w:numPr>
          <w:ilvl w:val="0"/>
          <w:numId w:val="5"/>
        </w:numPr>
        <w:spacing w:line="360" w:lineRule="auto"/>
        <w:jc w:val="both"/>
        <w:rPr>
          <w:rFonts w:ascii="Times New Roman" w:hAnsi="Times New Roman" w:cs="Times New Roman"/>
        </w:rPr>
      </w:pPr>
      <w:r>
        <w:rPr>
          <w:rFonts w:ascii="Times New Roman" w:hAnsi="Times New Roman" w:cs="Times New Roman"/>
        </w:rPr>
        <w:t>Ustalenia doktrynalne</w:t>
      </w:r>
    </w:p>
    <w:p w14:paraId="3D38E30D" w14:textId="0B16CC27" w:rsidR="00E10531" w:rsidRDefault="00E10531" w:rsidP="00E10531">
      <w:pPr>
        <w:pStyle w:val="Akapitzlist"/>
        <w:numPr>
          <w:ilvl w:val="0"/>
          <w:numId w:val="5"/>
        </w:numPr>
        <w:spacing w:line="360" w:lineRule="auto"/>
        <w:jc w:val="both"/>
        <w:rPr>
          <w:rFonts w:ascii="Times New Roman" w:hAnsi="Times New Roman" w:cs="Times New Roman"/>
        </w:rPr>
      </w:pPr>
      <w:r>
        <w:rPr>
          <w:rFonts w:ascii="Times New Roman" w:hAnsi="Times New Roman" w:cs="Times New Roman"/>
        </w:rPr>
        <w:t>Żadna odpowiedź nie jest prawdziwa</w:t>
      </w:r>
    </w:p>
    <w:p w14:paraId="53E063BB" w14:textId="540C066F" w:rsidR="00E10531" w:rsidRDefault="00E10531" w:rsidP="00E10531">
      <w:pPr>
        <w:spacing w:line="360" w:lineRule="auto"/>
        <w:jc w:val="both"/>
        <w:rPr>
          <w:rFonts w:ascii="Times New Roman" w:hAnsi="Times New Roman" w:cs="Times New Roman"/>
        </w:rPr>
      </w:pPr>
    </w:p>
    <w:p w14:paraId="1020B3A6" w14:textId="753575F8" w:rsidR="00E10531" w:rsidRDefault="00E10531" w:rsidP="00E10531">
      <w:pPr>
        <w:pStyle w:val="Akapitzlist"/>
        <w:numPr>
          <w:ilvl w:val="0"/>
          <w:numId w:val="1"/>
        </w:numPr>
        <w:spacing w:line="360" w:lineRule="auto"/>
        <w:jc w:val="both"/>
        <w:rPr>
          <w:rFonts w:ascii="Times New Roman" w:hAnsi="Times New Roman" w:cs="Times New Roman"/>
        </w:rPr>
      </w:pPr>
      <w:r>
        <w:rPr>
          <w:rFonts w:ascii="Times New Roman" w:hAnsi="Times New Roman" w:cs="Times New Roman"/>
        </w:rPr>
        <w:t>Perspektywa behawioralna to:</w:t>
      </w:r>
    </w:p>
    <w:p w14:paraId="35357365" w14:textId="25C37359" w:rsidR="00E10531" w:rsidRDefault="00E10531" w:rsidP="00E10531">
      <w:pPr>
        <w:pStyle w:val="Akapitzlist"/>
        <w:numPr>
          <w:ilvl w:val="0"/>
          <w:numId w:val="6"/>
        </w:numPr>
        <w:spacing w:line="360" w:lineRule="auto"/>
        <w:jc w:val="both"/>
        <w:rPr>
          <w:rFonts w:ascii="Times New Roman" w:hAnsi="Times New Roman" w:cs="Times New Roman"/>
        </w:rPr>
      </w:pPr>
      <w:r>
        <w:rPr>
          <w:rFonts w:ascii="Times New Roman" w:hAnsi="Times New Roman" w:cs="Times New Roman"/>
        </w:rPr>
        <w:t>Uwzględnienie własnego punktu widzenia</w:t>
      </w:r>
    </w:p>
    <w:p w14:paraId="1510704C" w14:textId="3E1B663D" w:rsidR="00E10531" w:rsidRDefault="00E10531" w:rsidP="00E10531">
      <w:pPr>
        <w:pStyle w:val="Akapitzlist"/>
        <w:numPr>
          <w:ilvl w:val="0"/>
          <w:numId w:val="6"/>
        </w:numPr>
        <w:spacing w:line="360" w:lineRule="auto"/>
        <w:jc w:val="both"/>
        <w:rPr>
          <w:rFonts w:ascii="Times New Roman" w:hAnsi="Times New Roman" w:cs="Times New Roman"/>
        </w:rPr>
      </w:pPr>
      <w:r>
        <w:rPr>
          <w:rFonts w:ascii="Times New Roman" w:hAnsi="Times New Roman" w:cs="Times New Roman"/>
        </w:rPr>
        <w:t>Stosowanie wyrazów prostych</w:t>
      </w:r>
    </w:p>
    <w:p w14:paraId="4BF4202A" w14:textId="2E53D7CF" w:rsidR="00E10531" w:rsidRPr="00E10531" w:rsidRDefault="00E10531" w:rsidP="00E10531">
      <w:pPr>
        <w:pStyle w:val="Akapitzlist"/>
        <w:numPr>
          <w:ilvl w:val="0"/>
          <w:numId w:val="6"/>
        </w:numPr>
        <w:spacing w:line="360" w:lineRule="auto"/>
        <w:jc w:val="both"/>
        <w:rPr>
          <w:rFonts w:ascii="Times New Roman" w:hAnsi="Times New Roman" w:cs="Times New Roman"/>
          <w:b/>
          <w:bCs/>
        </w:rPr>
      </w:pPr>
      <w:r w:rsidRPr="00E10531">
        <w:rPr>
          <w:rFonts w:ascii="Times New Roman" w:hAnsi="Times New Roman" w:cs="Times New Roman"/>
          <w:b/>
          <w:bCs/>
        </w:rPr>
        <w:t>Konieczność przyjęcia perspektywy adresata</w:t>
      </w:r>
    </w:p>
    <w:p w14:paraId="2B3CC817" w14:textId="1CCBAA9E" w:rsidR="00E10531" w:rsidRDefault="00E10531" w:rsidP="00E10531">
      <w:pPr>
        <w:pStyle w:val="Akapitzlist"/>
        <w:numPr>
          <w:ilvl w:val="0"/>
          <w:numId w:val="6"/>
        </w:numPr>
        <w:spacing w:line="360" w:lineRule="auto"/>
        <w:jc w:val="both"/>
        <w:rPr>
          <w:rFonts w:ascii="Times New Roman" w:hAnsi="Times New Roman" w:cs="Times New Roman"/>
        </w:rPr>
      </w:pPr>
      <w:r>
        <w:rPr>
          <w:rFonts w:ascii="Times New Roman" w:hAnsi="Times New Roman" w:cs="Times New Roman"/>
        </w:rPr>
        <w:t>Odnosi się do skrótów</w:t>
      </w:r>
    </w:p>
    <w:p w14:paraId="2EE9DC33" w14:textId="77777777" w:rsidR="00E10531" w:rsidRDefault="00E10531" w:rsidP="00E10531">
      <w:pPr>
        <w:spacing w:line="360" w:lineRule="auto"/>
        <w:jc w:val="both"/>
        <w:rPr>
          <w:rFonts w:ascii="Times New Roman" w:hAnsi="Times New Roman" w:cs="Times New Roman"/>
        </w:rPr>
      </w:pPr>
    </w:p>
    <w:p w14:paraId="60023CCE" w14:textId="56A60677" w:rsidR="00E10531" w:rsidRDefault="00E10531" w:rsidP="00E10531">
      <w:pPr>
        <w:pStyle w:val="Akapitzlist"/>
        <w:numPr>
          <w:ilvl w:val="0"/>
          <w:numId w:val="1"/>
        </w:numPr>
        <w:spacing w:line="360" w:lineRule="auto"/>
        <w:jc w:val="both"/>
        <w:rPr>
          <w:rFonts w:ascii="Times New Roman" w:hAnsi="Times New Roman" w:cs="Times New Roman"/>
        </w:rPr>
      </w:pPr>
      <w:r>
        <w:rPr>
          <w:rFonts w:ascii="Times New Roman" w:hAnsi="Times New Roman" w:cs="Times New Roman"/>
        </w:rPr>
        <w:t>Zastosuj prostsze zwroty</w:t>
      </w:r>
    </w:p>
    <w:p w14:paraId="1AFFEA4C" w14:textId="64F46353" w:rsidR="00E10531" w:rsidRDefault="00E10531" w:rsidP="00E10531">
      <w:pPr>
        <w:pStyle w:val="Akapitzlist"/>
        <w:numPr>
          <w:ilvl w:val="0"/>
          <w:numId w:val="7"/>
        </w:numPr>
        <w:spacing w:line="360" w:lineRule="auto"/>
        <w:jc w:val="both"/>
        <w:rPr>
          <w:rFonts w:ascii="Times New Roman" w:hAnsi="Times New Roman" w:cs="Times New Roman"/>
        </w:rPr>
      </w:pPr>
      <w:r>
        <w:rPr>
          <w:rFonts w:ascii="Times New Roman" w:hAnsi="Times New Roman" w:cs="Times New Roman"/>
        </w:rPr>
        <w:t>Funkcjonariusz policji -&gt;</w:t>
      </w:r>
    </w:p>
    <w:p w14:paraId="0B996DDE" w14:textId="44FCE7A1" w:rsidR="00E10531" w:rsidRDefault="00E10531" w:rsidP="00E10531">
      <w:pPr>
        <w:pStyle w:val="Akapitzlist"/>
        <w:numPr>
          <w:ilvl w:val="0"/>
          <w:numId w:val="7"/>
        </w:numPr>
        <w:spacing w:line="360" w:lineRule="auto"/>
        <w:jc w:val="both"/>
        <w:rPr>
          <w:rFonts w:ascii="Times New Roman" w:hAnsi="Times New Roman" w:cs="Times New Roman"/>
        </w:rPr>
      </w:pPr>
      <w:r>
        <w:rPr>
          <w:rFonts w:ascii="Times New Roman" w:hAnsi="Times New Roman" w:cs="Times New Roman"/>
        </w:rPr>
        <w:t>Kodeks deontologiczny -&gt;</w:t>
      </w:r>
    </w:p>
    <w:p w14:paraId="0113ED90" w14:textId="6C85CF5B" w:rsidR="00E10531" w:rsidRDefault="00E10531" w:rsidP="00E10531">
      <w:pPr>
        <w:pStyle w:val="Akapitzlist"/>
        <w:numPr>
          <w:ilvl w:val="0"/>
          <w:numId w:val="7"/>
        </w:numPr>
        <w:spacing w:line="360" w:lineRule="auto"/>
        <w:jc w:val="both"/>
        <w:rPr>
          <w:rFonts w:ascii="Times New Roman" w:hAnsi="Times New Roman" w:cs="Times New Roman"/>
        </w:rPr>
      </w:pPr>
      <w:r>
        <w:rPr>
          <w:rFonts w:ascii="Times New Roman" w:hAnsi="Times New Roman" w:cs="Times New Roman"/>
        </w:rPr>
        <w:t>Zagadnienia propedeutyczne -&gt;</w:t>
      </w:r>
    </w:p>
    <w:p w14:paraId="54ED3BB6" w14:textId="0CA1D31E" w:rsidR="00E10531" w:rsidRPr="00E10531" w:rsidRDefault="00CD354D" w:rsidP="00E10531">
      <w:pPr>
        <w:pStyle w:val="Akapitzlist"/>
        <w:numPr>
          <w:ilvl w:val="0"/>
          <w:numId w:val="7"/>
        </w:numPr>
        <w:spacing w:line="360" w:lineRule="auto"/>
        <w:jc w:val="both"/>
        <w:rPr>
          <w:rFonts w:ascii="Times New Roman" w:hAnsi="Times New Roman" w:cs="Times New Roman"/>
        </w:rPr>
      </w:pPr>
      <w:r>
        <w:rPr>
          <w:rFonts w:ascii="Times New Roman" w:hAnsi="Times New Roman" w:cs="Times New Roman"/>
        </w:rPr>
        <w:t>Derogacja przepisu -&gt;</w:t>
      </w:r>
    </w:p>
    <w:p w14:paraId="0DB09A01" w14:textId="77777777" w:rsidR="002A2E63" w:rsidRPr="002A2E63" w:rsidRDefault="002A2E63" w:rsidP="002A2E63">
      <w:pPr>
        <w:rPr>
          <w:rFonts w:ascii="Times New Roman" w:hAnsi="Times New Roman" w:cs="Times New Roman"/>
        </w:rPr>
      </w:pPr>
    </w:p>
    <w:p w14:paraId="68CCC60D" w14:textId="77777777" w:rsidR="00420598" w:rsidRPr="002A2E63" w:rsidRDefault="00420598" w:rsidP="00420598">
      <w:pPr>
        <w:pStyle w:val="Akapitzlist"/>
        <w:rPr>
          <w:rFonts w:ascii="Times New Roman" w:hAnsi="Times New Roman" w:cs="Times New Roman"/>
        </w:rPr>
      </w:pPr>
    </w:p>
    <w:p w14:paraId="65D903BD" w14:textId="2AB36FFC" w:rsidR="002A778B" w:rsidRPr="002A2E63" w:rsidRDefault="002A778B" w:rsidP="002A778B">
      <w:pPr>
        <w:rPr>
          <w:rFonts w:ascii="Times New Roman" w:hAnsi="Times New Roman" w:cs="Times New Roman"/>
        </w:rPr>
      </w:pPr>
    </w:p>
    <w:sectPr w:rsidR="002A778B" w:rsidRPr="002A2E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9C5BE" w14:textId="77777777" w:rsidR="00543AE7" w:rsidRDefault="00543AE7" w:rsidP="002A2E63">
      <w:r>
        <w:separator/>
      </w:r>
    </w:p>
  </w:endnote>
  <w:endnote w:type="continuationSeparator" w:id="0">
    <w:p w14:paraId="2BA478B7" w14:textId="77777777" w:rsidR="00543AE7" w:rsidRDefault="00543AE7" w:rsidP="002A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76261" w14:textId="77777777" w:rsidR="00543AE7" w:rsidRDefault="00543AE7" w:rsidP="002A2E63">
      <w:r>
        <w:separator/>
      </w:r>
    </w:p>
  </w:footnote>
  <w:footnote w:type="continuationSeparator" w:id="0">
    <w:p w14:paraId="060C7FF2" w14:textId="77777777" w:rsidR="00543AE7" w:rsidRDefault="00543AE7" w:rsidP="002A2E63">
      <w:r>
        <w:continuationSeparator/>
      </w:r>
    </w:p>
  </w:footnote>
  <w:footnote w:id="1">
    <w:p w14:paraId="3512504E" w14:textId="77777777" w:rsidR="002A2E63" w:rsidRDefault="002A2E63" w:rsidP="002A2E63">
      <w:pPr>
        <w:pStyle w:val="Tekstprzypisudolnego"/>
      </w:pPr>
      <w:r>
        <w:rPr>
          <w:rStyle w:val="Odwoanieprzypisudolnego"/>
        </w:rPr>
        <w:footnoteRef/>
      </w:r>
      <w:r>
        <w:t xml:space="preserve"> Tak K. Skotnicki, </w:t>
      </w:r>
      <w:r w:rsidRPr="00926DD2">
        <w:rPr>
          <w:i/>
        </w:rPr>
        <w:t>Funkcje wyborów</w:t>
      </w:r>
      <w:r>
        <w:t xml:space="preserve">, [w:] </w:t>
      </w:r>
      <w:r w:rsidRPr="00926DD2">
        <w:rPr>
          <w:i/>
        </w:rPr>
        <w:t>Prawo wyborcze Rzeczypospolitej Polskiej i problemy akcesji Polski do Unii Europejskiej. Materiały XLIV Ogólnopolskiej Konferencji Katedr i Zakładów Prawa Konstytucyjnego – Olsztyn 25-27 kwietnia 2002 r</w:t>
      </w:r>
      <w:r>
        <w:t>., red. A. Sylwestrzak, Olsztyn 2003, s. 129-144.</w:t>
      </w:r>
    </w:p>
  </w:footnote>
  <w:footnote w:id="2">
    <w:p w14:paraId="1A9FA1D2" w14:textId="77777777" w:rsidR="002A2E63" w:rsidRDefault="002A2E63" w:rsidP="002A2E63">
      <w:pPr>
        <w:pStyle w:val="Tekstprzypisudolnego"/>
      </w:pPr>
      <w:r>
        <w:rPr>
          <w:rStyle w:val="Odwoanieprzypisudolnego"/>
        </w:rPr>
        <w:footnoteRef/>
      </w:r>
      <w:r>
        <w:t xml:space="preserve"> Por. G. </w:t>
      </w:r>
      <w:proofErr w:type="spellStart"/>
      <w:r>
        <w:t>Kryszeń</w:t>
      </w:r>
      <w:proofErr w:type="spellEnd"/>
      <w:r>
        <w:t xml:space="preserve">, </w:t>
      </w:r>
      <w:r w:rsidRPr="001554B6">
        <w:rPr>
          <w:i/>
        </w:rPr>
        <w:t>Standardy prawne wolnych wyborów parlamentarnych</w:t>
      </w:r>
      <w:r>
        <w:t>, Białystok 2007, s. 76.</w:t>
      </w:r>
    </w:p>
  </w:footnote>
  <w:footnote w:id="3">
    <w:p w14:paraId="790FB4D3" w14:textId="77777777" w:rsidR="002A2E63" w:rsidRDefault="002A2E63" w:rsidP="002A2E63">
      <w:pPr>
        <w:pStyle w:val="Tekstprzypisudolnego"/>
      </w:pPr>
      <w:r>
        <w:rPr>
          <w:rStyle w:val="Odwoanieprzypisudolnego"/>
        </w:rPr>
        <w:footnoteRef/>
      </w:r>
      <w:r>
        <w:t xml:space="preserve"> A. Jamróz, </w:t>
      </w:r>
      <w:r w:rsidRPr="001554B6">
        <w:rPr>
          <w:i/>
        </w:rPr>
        <w:t>Demokracja współczesna. Wprowadzenie</w:t>
      </w:r>
      <w:r>
        <w:t>, Białystok 1993, s. 33.</w:t>
      </w:r>
    </w:p>
  </w:footnote>
  <w:footnote w:id="4">
    <w:p w14:paraId="6A99040D" w14:textId="77777777" w:rsidR="002A2E63" w:rsidRDefault="002A2E63" w:rsidP="002A2E63">
      <w:pPr>
        <w:pStyle w:val="Tekstprzypisudolnego"/>
      </w:pPr>
      <w:r>
        <w:rPr>
          <w:rStyle w:val="Odwoanieprzypisudolnego"/>
        </w:rPr>
        <w:footnoteRef/>
      </w:r>
      <w:r>
        <w:t xml:space="preserve"> Por. M. Jabłoński, </w:t>
      </w:r>
      <w:r w:rsidRPr="00FA5C5B">
        <w:rPr>
          <w:i/>
        </w:rPr>
        <w:t>Prawo do udziału w referendum</w:t>
      </w:r>
      <w:r>
        <w:t xml:space="preserve">, [w:] </w:t>
      </w:r>
      <w:r w:rsidRPr="00FA5C5B">
        <w:rPr>
          <w:i/>
        </w:rPr>
        <w:t>Realizacja i ochrona konstytucyjnych wolności i praw jednostki w polskim porządku prawnym</w:t>
      </w:r>
      <w:r>
        <w:t>, red. M. Jabłoński, A. Bisztyga, Wrocław 2014, s. 396-398.</w:t>
      </w:r>
    </w:p>
  </w:footnote>
  <w:footnote w:id="5">
    <w:p w14:paraId="0B3D5B3D" w14:textId="77777777" w:rsidR="002A2E63" w:rsidRDefault="002A2E63" w:rsidP="002A2E63">
      <w:pPr>
        <w:pStyle w:val="Tekstprzypisudolnego"/>
      </w:pPr>
      <w:r>
        <w:rPr>
          <w:rStyle w:val="Odwoanieprzypisudolnego"/>
        </w:rPr>
        <w:footnoteRef/>
      </w:r>
      <w:r>
        <w:t xml:space="preserve"> Międzynarodowy Pakt</w:t>
      </w:r>
      <w:r w:rsidRPr="00482A89">
        <w:t xml:space="preserve"> Praw Obywate</w:t>
      </w:r>
      <w:r>
        <w:t xml:space="preserve">lskich i Politycznych otwarty </w:t>
      </w:r>
      <w:r w:rsidRPr="00482A89">
        <w:t>do podpisu w Nowym Jorku dnia 16 grudnia 1966 r.</w:t>
      </w:r>
      <w:r>
        <w:t xml:space="preserve"> (Dz.U. z 1977 r., nr 38, poz. 167).</w:t>
      </w:r>
    </w:p>
  </w:footnote>
  <w:footnote w:id="6">
    <w:p w14:paraId="4BE1F7F2" w14:textId="77777777" w:rsidR="002A2E63" w:rsidRDefault="002A2E63" w:rsidP="002A2E63">
      <w:pPr>
        <w:pStyle w:val="Tekstprzypisudolnego"/>
      </w:pPr>
      <w:r>
        <w:rPr>
          <w:rStyle w:val="Odwoanieprzypisudolnego"/>
        </w:rPr>
        <w:footnoteRef/>
      </w:r>
      <w:r>
        <w:t xml:space="preserve"> Stanowi on, że „</w:t>
      </w:r>
      <w:r w:rsidRPr="00482A89">
        <w:t>Wola ludu jest podstawą władzy rządu; wola ta wyraża się w przeprowadzanych okresowo rzetelnych wyborach, opartych na zasadzie powszechności, równości i tajności, lub na innej równorzędnej procedurze, zapewniającej wolność wyborów</w:t>
      </w:r>
      <w:r>
        <w:t>”. Zob. Powszechna Deklaracja Praw Człowieka uchwalona przez Zgromadzenie Ogólne ONZ rezolucją 217/III A w dniu 10 grudnia 1948 r.</w:t>
      </w:r>
    </w:p>
  </w:footnote>
  <w:footnote w:id="7">
    <w:p w14:paraId="36F1CF03" w14:textId="77777777" w:rsidR="002A2E63" w:rsidRDefault="002A2E63" w:rsidP="002A2E63">
      <w:pPr>
        <w:pStyle w:val="Tekstprzypisudolnego"/>
      </w:pPr>
      <w:r>
        <w:rPr>
          <w:rStyle w:val="Odwoanieprzypisudolnego"/>
        </w:rPr>
        <w:footnoteRef/>
      </w:r>
      <w:r>
        <w:t xml:space="preserve"> </w:t>
      </w:r>
      <w:r w:rsidRPr="00A11C8D">
        <w:t>Protokół nr 1 do Konwencji o Ochronie Praw Człowieka i Podstawowych Wolności sporządzony w Paryżu 20 marca 1952 r. (Dz.U. 1995, Nr 36, poz. 175).</w:t>
      </w:r>
    </w:p>
  </w:footnote>
  <w:footnote w:id="8">
    <w:p w14:paraId="759F8698" w14:textId="77777777" w:rsidR="002A2E63" w:rsidRDefault="002A2E63" w:rsidP="002A2E63">
      <w:pPr>
        <w:pStyle w:val="Tekstprzypisudolnego"/>
      </w:pPr>
      <w:r>
        <w:rPr>
          <w:rStyle w:val="Odwoanieprzypisudolnego"/>
        </w:rPr>
        <w:footnoteRef/>
      </w:r>
      <w:r>
        <w:t xml:space="preserve"> Por. M. Chrzanowski, </w:t>
      </w:r>
      <w:r w:rsidRPr="00266704">
        <w:rPr>
          <w:i/>
        </w:rPr>
        <w:t>Podstawowe zasady prawa wyborczego do organów stanowiących jednostek samorządu terytorialnego</w:t>
      </w:r>
      <w:r>
        <w:t xml:space="preserve">, Białystok 2018, s. 192; G. </w:t>
      </w:r>
      <w:proofErr w:type="spellStart"/>
      <w:r>
        <w:t>Kryszeń</w:t>
      </w:r>
      <w:proofErr w:type="spellEnd"/>
      <w:r>
        <w:t xml:space="preserve">, </w:t>
      </w:r>
      <w:r>
        <w:rPr>
          <w:i/>
        </w:rPr>
        <w:t>op. cit.</w:t>
      </w:r>
      <w:r>
        <w:t>, s. 88.</w:t>
      </w:r>
    </w:p>
  </w:footnote>
  <w:footnote w:id="9">
    <w:p w14:paraId="03FB73A0" w14:textId="77777777" w:rsidR="002A2E63" w:rsidRDefault="002A2E63" w:rsidP="002A2E63">
      <w:pPr>
        <w:pStyle w:val="Tekstprzypisudolnego"/>
      </w:pPr>
      <w:r>
        <w:rPr>
          <w:rStyle w:val="Odwoanieprzypisudolnego"/>
        </w:rPr>
        <w:footnoteRef/>
      </w:r>
      <w:r>
        <w:t xml:space="preserve"> M. Chrzanowski, </w:t>
      </w:r>
      <w:r w:rsidRPr="00266704">
        <w:rPr>
          <w:i/>
        </w:rPr>
        <w:t>op. cit</w:t>
      </w:r>
      <w:r>
        <w:t>., s. 191-193.</w:t>
      </w:r>
    </w:p>
  </w:footnote>
  <w:footnote w:id="10">
    <w:p w14:paraId="608F8515" w14:textId="77777777" w:rsidR="002A2E63" w:rsidRDefault="002A2E63" w:rsidP="002A2E63">
      <w:pPr>
        <w:pStyle w:val="Tekstprzypisudolnego"/>
      </w:pPr>
      <w:r>
        <w:rPr>
          <w:rStyle w:val="Odwoanieprzypisudolnego"/>
        </w:rPr>
        <w:footnoteRef/>
      </w:r>
      <w:r>
        <w:t xml:space="preserve"> Por. G. </w:t>
      </w:r>
      <w:proofErr w:type="spellStart"/>
      <w:r>
        <w:t>Kryszeń</w:t>
      </w:r>
      <w:proofErr w:type="spellEnd"/>
      <w:r>
        <w:t xml:space="preserve">, </w:t>
      </w:r>
      <w:r>
        <w:rPr>
          <w:i/>
        </w:rPr>
        <w:t>op. cit.</w:t>
      </w:r>
      <w:r>
        <w:t>, s. 76.</w:t>
      </w:r>
    </w:p>
  </w:footnote>
  <w:footnote w:id="11">
    <w:p w14:paraId="7CF16D29" w14:textId="77777777" w:rsidR="002A2E63" w:rsidRDefault="002A2E63" w:rsidP="002A2E63">
      <w:pPr>
        <w:pStyle w:val="Tekstprzypisudolnego"/>
      </w:pPr>
      <w:r>
        <w:rPr>
          <w:rStyle w:val="Odwoanieprzypisudolnego"/>
        </w:rPr>
        <w:footnoteRef/>
      </w:r>
      <w:r>
        <w:t xml:space="preserve"> Zob. szerzej G. </w:t>
      </w:r>
      <w:proofErr w:type="spellStart"/>
      <w:r>
        <w:t>Kryszeń</w:t>
      </w:r>
      <w:proofErr w:type="spellEnd"/>
      <w:r>
        <w:t xml:space="preserve">, </w:t>
      </w:r>
      <w:r w:rsidRPr="00266704">
        <w:rPr>
          <w:i/>
        </w:rPr>
        <w:t>Uczciwość wyborów jako zasada prawa wyborczego</w:t>
      </w:r>
      <w:r>
        <w:t>, „Studia Wyborcze” 2016, t. 21, s. 15.</w:t>
      </w:r>
    </w:p>
  </w:footnote>
  <w:footnote w:id="12">
    <w:p w14:paraId="54F5CBBC" w14:textId="77777777" w:rsidR="002A2E63" w:rsidRDefault="002A2E63" w:rsidP="002A2E63">
      <w:pPr>
        <w:pStyle w:val="Tekstprzypisudolnego"/>
      </w:pPr>
      <w:r>
        <w:rPr>
          <w:rStyle w:val="Odwoanieprzypisudolnego"/>
        </w:rPr>
        <w:footnoteRef/>
      </w:r>
      <w:r>
        <w:t xml:space="preserve"> Por. </w:t>
      </w:r>
      <w:r w:rsidRPr="00266704">
        <w:t xml:space="preserve">K. Skotnicki, </w:t>
      </w:r>
      <w:r w:rsidRPr="00266704">
        <w:rPr>
          <w:i/>
        </w:rPr>
        <w:t>op. cit.</w:t>
      </w:r>
      <w:r w:rsidRPr="00266704">
        <w:t xml:space="preserve">, s. 129-144; G. </w:t>
      </w:r>
      <w:proofErr w:type="spellStart"/>
      <w:r w:rsidRPr="00266704">
        <w:t>Kryszeń</w:t>
      </w:r>
      <w:proofErr w:type="spellEnd"/>
      <w:r w:rsidRPr="00266704">
        <w:t xml:space="preserve">, </w:t>
      </w:r>
      <w:r w:rsidRPr="00266704">
        <w:rPr>
          <w:i/>
        </w:rPr>
        <w:t>Standardy prawne</w:t>
      </w:r>
      <w:r w:rsidRPr="00266704">
        <w:t xml:space="preserve">..., s. 76; A. Jamróz, </w:t>
      </w:r>
      <w:r w:rsidRPr="00266704">
        <w:rPr>
          <w:i/>
        </w:rPr>
        <w:t>op. cit</w:t>
      </w:r>
      <w:r w:rsidRPr="00266704">
        <w:t>., s. 33</w:t>
      </w:r>
    </w:p>
  </w:footnote>
  <w:footnote w:id="13">
    <w:p w14:paraId="7495BF4A" w14:textId="77777777" w:rsidR="002A2E63" w:rsidRDefault="002A2E63" w:rsidP="002A2E63">
      <w:pPr>
        <w:pStyle w:val="Tekstprzypisudolnego"/>
      </w:pPr>
      <w:r>
        <w:rPr>
          <w:rStyle w:val="Odwoanieprzypisudolnego"/>
        </w:rPr>
        <w:footnoteRef/>
      </w:r>
      <w:r>
        <w:t xml:space="preserve"> P.</w:t>
      </w:r>
      <w:r w:rsidRPr="0053090A">
        <w:t xml:space="preserve"> Uziębło, </w:t>
      </w:r>
      <w:r w:rsidRPr="0053090A">
        <w:rPr>
          <w:i/>
        </w:rPr>
        <w:t>Konstytucyjność zmian samorządowej ordynacji wyborczej. Glosa do wyroku TK z dnia 3 listopada 2006 r., K 31/06</w:t>
      </w:r>
      <w:r w:rsidRPr="0053090A">
        <w:t xml:space="preserve">, </w:t>
      </w:r>
      <w:r>
        <w:t xml:space="preserve">„Gdańskie Studia Prawnicze – </w:t>
      </w:r>
      <w:r w:rsidRPr="0053090A">
        <w:t>Prz</w:t>
      </w:r>
      <w:r>
        <w:t>egląd Orzecznictwa”</w:t>
      </w:r>
      <w:r w:rsidRPr="0053090A">
        <w:t xml:space="preserve"> 2007, nr 2, s. 167-176.</w:t>
      </w:r>
    </w:p>
  </w:footnote>
  <w:footnote w:id="14">
    <w:p w14:paraId="2FD86B7A" w14:textId="77777777" w:rsidR="002A2E63" w:rsidRDefault="002A2E63" w:rsidP="002A2E63">
      <w:pPr>
        <w:pStyle w:val="Tekstprzypisudolnego"/>
      </w:pPr>
      <w:r>
        <w:rPr>
          <w:rStyle w:val="Odwoanieprzypisudolnego"/>
        </w:rPr>
        <w:footnoteRef/>
      </w:r>
      <w:r>
        <w:t xml:space="preserve"> Por. K. Stępniak, </w:t>
      </w:r>
      <w:r w:rsidRPr="001305CF">
        <w:rPr>
          <w:i/>
        </w:rPr>
        <w:t xml:space="preserve">Algorytmy </w:t>
      </w:r>
      <w:proofErr w:type="spellStart"/>
      <w:r w:rsidRPr="001305CF">
        <w:rPr>
          <w:i/>
        </w:rPr>
        <w:t>priorytezujące</w:t>
      </w:r>
      <w:proofErr w:type="spellEnd"/>
      <w:r w:rsidRPr="001305CF">
        <w:rPr>
          <w:i/>
        </w:rPr>
        <w:t xml:space="preserve"> w świetle zasady wolnych wyborów</w:t>
      </w:r>
      <w:r>
        <w:t>, „Przegląd Prawa Konstytucyjnego” 2019, nr 4, s. 48-71.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50D96"/>
    <w:multiLevelType w:val="hybridMultilevel"/>
    <w:tmpl w:val="DA301CA2"/>
    <w:lvl w:ilvl="0" w:tplc="C674EA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9112AF0"/>
    <w:multiLevelType w:val="hybridMultilevel"/>
    <w:tmpl w:val="03FAD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EB7841"/>
    <w:multiLevelType w:val="hybridMultilevel"/>
    <w:tmpl w:val="134458D2"/>
    <w:lvl w:ilvl="0" w:tplc="1CC4EA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7E6239B"/>
    <w:multiLevelType w:val="hybridMultilevel"/>
    <w:tmpl w:val="497474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8E770F"/>
    <w:multiLevelType w:val="hybridMultilevel"/>
    <w:tmpl w:val="06AA00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D7F447C"/>
    <w:multiLevelType w:val="hybridMultilevel"/>
    <w:tmpl w:val="D28E0C3E"/>
    <w:lvl w:ilvl="0" w:tplc="AC1AF73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7E7E7D4F"/>
    <w:multiLevelType w:val="hybridMultilevel"/>
    <w:tmpl w:val="B602D9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011594">
    <w:abstractNumId w:val="1"/>
  </w:num>
  <w:num w:numId="2" w16cid:durableId="417337106">
    <w:abstractNumId w:val="6"/>
  </w:num>
  <w:num w:numId="3" w16cid:durableId="1442408008">
    <w:abstractNumId w:val="3"/>
  </w:num>
  <w:num w:numId="4" w16cid:durableId="641618577">
    <w:abstractNumId w:val="5"/>
  </w:num>
  <w:num w:numId="5" w16cid:durableId="600727510">
    <w:abstractNumId w:val="0"/>
  </w:num>
  <w:num w:numId="6" w16cid:durableId="366221253">
    <w:abstractNumId w:val="2"/>
  </w:num>
  <w:num w:numId="7" w16cid:durableId="218639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98"/>
    <w:rsid w:val="001729F0"/>
    <w:rsid w:val="002A2E63"/>
    <w:rsid w:val="002A778B"/>
    <w:rsid w:val="00420598"/>
    <w:rsid w:val="00543AE7"/>
    <w:rsid w:val="0067128D"/>
    <w:rsid w:val="00AE077B"/>
    <w:rsid w:val="00CD354D"/>
    <w:rsid w:val="00E10531"/>
    <w:rsid w:val="00F95F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C93287B"/>
  <w15:chartTrackingRefBased/>
  <w15:docId w15:val="{480E19EC-76A8-1E41-A881-70F1BC4D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0598"/>
    <w:pPr>
      <w:ind w:left="720"/>
      <w:contextualSpacing/>
    </w:pPr>
  </w:style>
  <w:style w:type="paragraph" w:styleId="Tekstprzypisudolnego">
    <w:name w:val="footnote text"/>
    <w:basedOn w:val="Normalny"/>
    <w:link w:val="TekstprzypisudolnegoZnak"/>
    <w:uiPriority w:val="99"/>
    <w:semiHidden/>
    <w:unhideWhenUsed/>
    <w:rsid w:val="002A2E63"/>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2A2E63"/>
    <w:rPr>
      <w:kern w:val="0"/>
      <w:sz w:val="20"/>
      <w:szCs w:val="20"/>
      <w14:ligatures w14:val="none"/>
    </w:rPr>
  </w:style>
  <w:style w:type="character" w:styleId="Odwoanieprzypisudolnego">
    <w:name w:val="footnote reference"/>
    <w:basedOn w:val="Domylnaczcionkaakapitu"/>
    <w:uiPriority w:val="99"/>
    <w:semiHidden/>
    <w:unhideWhenUsed/>
    <w:rsid w:val="002A2E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681</Words>
  <Characters>4092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Stępniak</dc:creator>
  <cp:keywords/>
  <dc:description/>
  <cp:lastModifiedBy>Kamil Stępniak</cp:lastModifiedBy>
  <cp:revision>4</cp:revision>
  <dcterms:created xsi:type="dcterms:W3CDTF">2023-12-14T00:47:00Z</dcterms:created>
  <dcterms:modified xsi:type="dcterms:W3CDTF">2023-12-15T23:10:00Z</dcterms:modified>
</cp:coreProperties>
</file>