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9970" w14:textId="501B2016" w:rsidR="00114CB5" w:rsidRDefault="00420598" w:rsidP="00373B04">
      <w:r>
        <w:t xml:space="preserve">Ćwiczenia do zajęć nr </w:t>
      </w:r>
      <w:r w:rsidR="00373B04">
        <w:t xml:space="preserve">3: Topika prawnicza a prosta komunikacja w </w:t>
      </w:r>
      <w:r w:rsidR="00FC705D">
        <w:t>języku</w:t>
      </w:r>
      <w:r w:rsidR="00373B04">
        <w:t xml:space="preserve"> prawniczym</w:t>
      </w:r>
    </w:p>
    <w:p w14:paraId="509E9A27" w14:textId="77777777" w:rsidR="00373B04" w:rsidRDefault="00373B04" w:rsidP="00373B04"/>
    <w:p w14:paraId="014BD49A" w14:textId="2CA072CB" w:rsidR="00373B04" w:rsidRDefault="00373B04" w:rsidP="00373B04">
      <w:pPr>
        <w:pStyle w:val="Akapitzlist"/>
        <w:numPr>
          <w:ilvl w:val="0"/>
          <w:numId w:val="8"/>
        </w:numPr>
      </w:pPr>
      <w:r>
        <w:t>Toposy, to inaczej</w:t>
      </w:r>
    </w:p>
    <w:p w14:paraId="70097882" w14:textId="77777777" w:rsidR="00373B04" w:rsidRDefault="00373B04" w:rsidP="00373B04"/>
    <w:p w14:paraId="085353E5" w14:textId="3B2DCA3D" w:rsidR="00373B04" w:rsidRPr="00FC705D" w:rsidRDefault="00373B04" w:rsidP="00373B04">
      <w:pPr>
        <w:pStyle w:val="Akapitzlist"/>
        <w:numPr>
          <w:ilvl w:val="0"/>
          <w:numId w:val="9"/>
        </w:numPr>
        <w:rPr>
          <w:b/>
          <w:bCs/>
        </w:rPr>
      </w:pPr>
      <w:r w:rsidRPr="00FC705D">
        <w:rPr>
          <w:b/>
          <w:bCs/>
        </w:rPr>
        <w:t xml:space="preserve">Argumenty używane do wzmocnienia siły perswazyjnej </w:t>
      </w:r>
    </w:p>
    <w:p w14:paraId="3914FF25" w14:textId="08F38E0D" w:rsidR="00373B04" w:rsidRDefault="00FC705D" w:rsidP="00373B04">
      <w:pPr>
        <w:pStyle w:val="Akapitzlist"/>
        <w:numPr>
          <w:ilvl w:val="0"/>
          <w:numId w:val="9"/>
        </w:numPr>
      </w:pPr>
      <w:r>
        <w:t>Metody wykładni</w:t>
      </w:r>
    </w:p>
    <w:p w14:paraId="66F86CBB" w14:textId="05563C3E" w:rsidR="00FC705D" w:rsidRDefault="00FC705D" w:rsidP="00373B04">
      <w:pPr>
        <w:pStyle w:val="Akapitzlist"/>
        <w:numPr>
          <w:ilvl w:val="0"/>
          <w:numId w:val="9"/>
        </w:numPr>
      </w:pPr>
      <w:r>
        <w:t>Wynik wykładni</w:t>
      </w:r>
    </w:p>
    <w:p w14:paraId="540FDB8F" w14:textId="45B3E2D4" w:rsidR="00FC705D" w:rsidRDefault="00FC705D" w:rsidP="00373B04">
      <w:pPr>
        <w:pStyle w:val="Akapitzlist"/>
        <w:numPr>
          <w:ilvl w:val="0"/>
          <w:numId w:val="9"/>
        </w:numPr>
      </w:pPr>
      <w:r>
        <w:t>Powiedzenia prawnicze</w:t>
      </w:r>
    </w:p>
    <w:p w14:paraId="21E46902" w14:textId="77777777" w:rsidR="00FC705D" w:rsidRDefault="00FC705D" w:rsidP="00FC705D"/>
    <w:p w14:paraId="795A8C38" w14:textId="268C6B47" w:rsidR="00FC705D" w:rsidRDefault="00FC705D" w:rsidP="00FC705D">
      <w:pPr>
        <w:pStyle w:val="Akapitzlist"/>
        <w:numPr>
          <w:ilvl w:val="0"/>
          <w:numId w:val="8"/>
        </w:numPr>
      </w:pPr>
      <w:r>
        <w:t>Topos:</w:t>
      </w:r>
    </w:p>
    <w:p w14:paraId="31191FF1" w14:textId="77777777" w:rsidR="00FC705D" w:rsidRDefault="00FC705D" w:rsidP="00FC705D"/>
    <w:p w14:paraId="05B59291" w14:textId="10A90A02" w:rsidR="00FC705D" w:rsidRPr="00FC705D" w:rsidRDefault="00FC705D" w:rsidP="00FC705D">
      <w:pPr>
        <w:pStyle w:val="Akapitzlist"/>
        <w:numPr>
          <w:ilvl w:val="0"/>
          <w:numId w:val="10"/>
        </w:numPr>
        <w:rPr>
          <w:b/>
          <w:bCs/>
        </w:rPr>
      </w:pPr>
      <w:r w:rsidRPr="00FC705D">
        <w:rPr>
          <w:b/>
          <w:bCs/>
        </w:rPr>
        <w:t>Zawsze musi wynikać z przepisu prawnego</w:t>
      </w:r>
    </w:p>
    <w:p w14:paraId="357D9657" w14:textId="3310BC2E" w:rsidR="00FC705D" w:rsidRDefault="00FC705D" w:rsidP="00FC705D">
      <w:pPr>
        <w:pStyle w:val="Akapitzlist"/>
        <w:numPr>
          <w:ilvl w:val="0"/>
          <w:numId w:val="10"/>
        </w:numPr>
      </w:pPr>
      <w:r>
        <w:t>Nie musi wynikać z przepisu prawnego</w:t>
      </w:r>
    </w:p>
    <w:p w14:paraId="13C573AD" w14:textId="4E4BE4FE" w:rsidR="00FC705D" w:rsidRDefault="00FC705D" w:rsidP="00FC705D">
      <w:pPr>
        <w:pStyle w:val="Akapitzlist"/>
        <w:numPr>
          <w:ilvl w:val="0"/>
          <w:numId w:val="10"/>
        </w:numPr>
      </w:pPr>
      <w:r>
        <w:t>Powoduje, że nie trzeba używać metod wykładni</w:t>
      </w:r>
    </w:p>
    <w:p w14:paraId="27981752" w14:textId="0C861983" w:rsidR="00FC705D" w:rsidRDefault="00FC705D" w:rsidP="00FC705D">
      <w:pPr>
        <w:pStyle w:val="Akapitzlist"/>
        <w:numPr>
          <w:ilvl w:val="0"/>
          <w:numId w:val="10"/>
        </w:numPr>
      </w:pPr>
      <w:r>
        <w:t>Jest regułą interferencyjną</w:t>
      </w:r>
    </w:p>
    <w:p w14:paraId="3E9B2650" w14:textId="77777777" w:rsidR="00FC705D" w:rsidRDefault="00FC705D" w:rsidP="00FC705D"/>
    <w:p w14:paraId="20B24735" w14:textId="7C4C618E" w:rsidR="00FC705D" w:rsidRDefault="00FC705D" w:rsidP="00FC705D">
      <w:pPr>
        <w:pStyle w:val="Akapitzlist"/>
        <w:numPr>
          <w:ilvl w:val="0"/>
          <w:numId w:val="8"/>
        </w:numPr>
      </w:pPr>
      <w:r>
        <w:t>Wykorzystując poznane toposy prawnicze spróbuj stworzyć argumentację do obronienia następującej hipotezy:</w:t>
      </w:r>
    </w:p>
    <w:p w14:paraId="687602DA" w14:textId="77777777" w:rsidR="00FC705D" w:rsidRDefault="00FC705D" w:rsidP="00FC705D"/>
    <w:p w14:paraId="52601F88" w14:textId="1EFE64D0" w:rsidR="00FC705D" w:rsidRDefault="00FC705D" w:rsidP="00FC705D">
      <w:r>
        <w:t>Gołębie pocztowe w razie stanu wojny powinny przejść na własność Skarbu Państwa</w:t>
      </w:r>
    </w:p>
    <w:p w14:paraId="3EBFD745" w14:textId="77777777" w:rsidR="00FC705D" w:rsidRDefault="00FC705D" w:rsidP="00FC705D"/>
    <w:p w14:paraId="33D48C6B" w14:textId="77777777" w:rsidR="00FC705D" w:rsidRDefault="00FC705D" w:rsidP="00FC705D"/>
    <w:p w14:paraId="4EDAA483" w14:textId="6849C52F" w:rsidR="00FC705D" w:rsidRDefault="00FC705D" w:rsidP="00FC705D">
      <w:r>
        <w:t>Proponowana odpowiedź:</w:t>
      </w:r>
      <w:r w:rsidR="0065648F">
        <w:t xml:space="preserve"> </w:t>
      </w:r>
      <w:r w:rsidR="0065648F" w:rsidRPr="0065648F">
        <w:rPr>
          <w:b/>
          <w:bCs/>
        </w:rPr>
        <w:t>Zasada demokratycznego państwa prawnego</w:t>
      </w:r>
      <w:r w:rsidR="0065648F">
        <w:t xml:space="preserve">, które przecież jest zobowiązane do </w:t>
      </w:r>
      <w:r w:rsidR="0065648F" w:rsidRPr="0065648F">
        <w:rPr>
          <w:b/>
          <w:bCs/>
        </w:rPr>
        <w:t>urzeczywistniania sprawiedliwości społecznej</w:t>
      </w:r>
      <w:r w:rsidR="0065648F">
        <w:t xml:space="preserve">, a także dbanie o </w:t>
      </w:r>
      <w:r w:rsidR="0065648F" w:rsidRPr="0065648F">
        <w:rPr>
          <w:b/>
          <w:bCs/>
        </w:rPr>
        <w:t xml:space="preserve">dobro wspólne wszystkich obywateli </w:t>
      </w:r>
      <w:r w:rsidR="0065648F">
        <w:t xml:space="preserve">– jakim jest niewątpliwie Rzeczpospolita (art. 1 Konstytucji) pozwala na ograniczenie prawa własności przez państwo w razie zaistnienia pewnych wyjątkowych okoliczności. Jedną z nich jest stan wojenny. Zewnętrzna napaść na Polskę, która przesądza o możliwości jego wprowadzenia, to także potrzeba stosowania nadzwyczajnych środków. </w:t>
      </w:r>
      <w:r w:rsidR="0065648F" w:rsidRPr="0065648F">
        <w:rPr>
          <w:b/>
          <w:bCs/>
        </w:rPr>
        <w:t xml:space="preserve">Proporcjonalnym </w:t>
      </w:r>
      <w:r w:rsidR="0065648F">
        <w:t>ograniczeniem własności będzie obowiązek przekazania gołębi pocztowych na rzecz Skarbu Państwa. Jest to związane z koniecznością zapewnienia bezpieczeństwa i alternatywnych środków komunikacji.</w:t>
      </w:r>
    </w:p>
    <w:p w14:paraId="66867C7B" w14:textId="77777777" w:rsidR="0065648F" w:rsidRDefault="0065648F" w:rsidP="00FC705D"/>
    <w:p w14:paraId="6817C16D" w14:textId="476E4284" w:rsidR="0065648F" w:rsidRDefault="0065648F" w:rsidP="0065648F">
      <w:pPr>
        <w:pStyle w:val="Akapitzlist"/>
        <w:numPr>
          <w:ilvl w:val="0"/>
          <w:numId w:val="8"/>
        </w:numPr>
      </w:pPr>
      <w:r>
        <w:t xml:space="preserve">Znajdź wyjątki w prawie karnym od zasady lex retro non </w:t>
      </w:r>
      <w:proofErr w:type="spellStart"/>
      <w:r>
        <w:t>agit</w:t>
      </w:r>
      <w:proofErr w:type="spellEnd"/>
    </w:p>
    <w:p w14:paraId="0779D4F5" w14:textId="77777777" w:rsidR="0065648F" w:rsidRDefault="0065648F" w:rsidP="0065648F"/>
    <w:p w14:paraId="324B376C" w14:textId="487DB454" w:rsidR="0065648F" w:rsidRDefault="0065648F" w:rsidP="0065648F">
      <w:r>
        <w:t>Odpowiedź: Mowa oczywiście o art. 4 Kodeksu karnego, który przesądza o tym, kiedy może nastąpić retroaktywność prawa</w:t>
      </w:r>
    </w:p>
    <w:p w14:paraId="4120BB1D" w14:textId="77777777" w:rsidR="0065648F" w:rsidRDefault="0065648F" w:rsidP="0065648F"/>
    <w:p w14:paraId="63BE462E" w14:textId="77777777" w:rsidR="0065648F" w:rsidRDefault="0065648F" w:rsidP="0065648F">
      <w:proofErr w:type="gramStart"/>
      <w:r>
        <w:t>§  1.</w:t>
      </w:r>
      <w:proofErr w:type="gramEnd"/>
      <w:r>
        <w:t xml:space="preserve">  Jeżeli w czasie orzekania obowiązuje ustawa inna niż w czasie popełnienia przestępstwa, stosuje się ustawę nową, jednakże należy stosować ustawę obowiązującą poprzednio, jeżeli jest względniejsza dla sprawcy.</w:t>
      </w:r>
    </w:p>
    <w:p w14:paraId="15973AF1" w14:textId="77777777" w:rsidR="0065648F" w:rsidRDefault="0065648F" w:rsidP="0065648F">
      <w:proofErr w:type="gramStart"/>
      <w:r>
        <w:t>§  2.</w:t>
      </w:r>
      <w:proofErr w:type="gramEnd"/>
      <w:r>
        <w:t xml:space="preserve">  Jeżeli według nowej ustawy za czyn objęty wyrokiem nie można orzec kary w wysokości kary orzeczonej, wymierzoną karę obniża się do wysokości najsurowszej kary możliwej do orzeczenia na podstawie nowej ustawy.</w:t>
      </w:r>
    </w:p>
    <w:p w14:paraId="65BCED11" w14:textId="77777777" w:rsidR="0065648F" w:rsidRDefault="0065648F" w:rsidP="0065648F">
      <w:proofErr w:type="gramStart"/>
      <w:r>
        <w:t>§  3.</w:t>
      </w:r>
      <w:proofErr w:type="gramEnd"/>
      <w:r>
        <w:t xml:space="preserve">  Jeżeli według nowej ustawy czyn objęty wyrokiem nie jest już zagrożony karą pozbawienia wolności, wymierzoną karę pozbawienia wolności podlegającą wykonaniu zamienia się na grzywnę albo karę ograniczenia wolności, przyjmując że jeden miesiąc </w:t>
      </w:r>
      <w:r>
        <w:lastRenderedPageBreak/>
        <w:t>pozbawienia wolności równa się 60 stawkom dziennym grzywny albo 2 miesiącom ograniczenia wolności.</w:t>
      </w:r>
    </w:p>
    <w:p w14:paraId="51C437CF" w14:textId="1BDF83E3" w:rsidR="0065648F" w:rsidRDefault="0065648F" w:rsidP="0065648F">
      <w:proofErr w:type="gramStart"/>
      <w:r>
        <w:t>§  4.</w:t>
      </w:r>
      <w:proofErr w:type="gramEnd"/>
      <w:r>
        <w:t xml:space="preserve">  Jeżeli według nowej ustawy czyn objęty wyrokiem nie jest już zabroniony pod groźbą kary, skazanie ulega zatarciu z mocy prawa.</w:t>
      </w:r>
    </w:p>
    <w:sectPr w:rsidR="00656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C98"/>
    <w:multiLevelType w:val="hybridMultilevel"/>
    <w:tmpl w:val="3C5AA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036FC"/>
    <w:multiLevelType w:val="hybridMultilevel"/>
    <w:tmpl w:val="C86C4C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112AF0"/>
    <w:multiLevelType w:val="hybridMultilevel"/>
    <w:tmpl w:val="03FA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7006BB"/>
    <w:multiLevelType w:val="hybridMultilevel"/>
    <w:tmpl w:val="50FC3924"/>
    <w:lvl w:ilvl="0" w:tplc="39DAB3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1363215"/>
    <w:multiLevelType w:val="hybridMultilevel"/>
    <w:tmpl w:val="B51EC4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E6239B"/>
    <w:multiLevelType w:val="hybridMultilevel"/>
    <w:tmpl w:val="49747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551A75"/>
    <w:multiLevelType w:val="hybridMultilevel"/>
    <w:tmpl w:val="0674D1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6B11B4"/>
    <w:multiLevelType w:val="hybridMultilevel"/>
    <w:tmpl w:val="ACF6C6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7F447C"/>
    <w:multiLevelType w:val="hybridMultilevel"/>
    <w:tmpl w:val="D28E0C3E"/>
    <w:lvl w:ilvl="0" w:tplc="AC1AF7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E7E7D4F"/>
    <w:multiLevelType w:val="hybridMultilevel"/>
    <w:tmpl w:val="B602D9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011594">
    <w:abstractNumId w:val="2"/>
  </w:num>
  <w:num w:numId="2" w16cid:durableId="417337106">
    <w:abstractNumId w:val="9"/>
  </w:num>
  <w:num w:numId="3" w16cid:durableId="1442408008">
    <w:abstractNumId w:val="5"/>
  </w:num>
  <w:num w:numId="4" w16cid:durableId="641618577">
    <w:abstractNumId w:val="8"/>
  </w:num>
  <w:num w:numId="5" w16cid:durableId="982394407">
    <w:abstractNumId w:val="1"/>
  </w:num>
  <w:num w:numId="6" w16cid:durableId="119417448">
    <w:abstractNumId w:val="3"/>
  </w:num>
  <w:num w:numId="7" w16cid:durableId="2104260684">
    <w:abstractNumId w:val="4"/>
  </w:num>
  <w:num w:numId="8" w16cid:durableId="1179392882">
    <w:abstractNumId w:val="0"/>
  </w:num>
  <w:num w:numId="9" w16cid:durableId="133723984">
    <w:abstractNumId w:val="6"/>
  </w:num>
  <w:num w:numId="10" w16cid:durableId="2010522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98"/>
    <w:rsid w:val="00114CB5"/>
    <w:rsid w:val="001729F0"/>
    <w:rsid w:val="002A778B"/>
    <w:rsid w:val="00373B04"/>
    <w:rsid w:val="00420598"/>
    <w:rsid w:val="0065648F"/>
    <w:rsid w:val="0067128D"/>
    <w:rsid w:val="009B190A"/>
    <w:rsid w:val="00F95FDD"/>
    <w:rsid w:val="00FC7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93287B"/>
  <w15:chartTrackingRefBased/>
  <w15:docId w15:val="{480E19EC-76A8-1E41-A881-70F1BC4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341</Words>
  <Characters>2051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Stępniak</dc:creator>
  <cp:keywords/>
  <dc:description/>
  <cp:lastModifiedBy>Kamil Stępniak</cp:lastModifiedBy>
  <cp:revision>4</cp:revision>
  <dcterms:created xsi:type="dcterms:W3CDTF">2023-12-14T00:47:00Z</dcterms:created>
  <dcterms:modified xsi:type="dcterms:W3CDTF">2023-12-14T23:46:00Z</dcterms:modified>
</cp:coreProperties>
</file>