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DBF4" w14:textId="47AD3D76" w:rsidR="001729F0" w:rsidRDefault="00420598">
      <w:r>
        <w:t>Ćwiczenia do zajęć nr 1: Język prawny a język prawniczy</w:t>
      </w:r>
    </w:p>
    <w:p w14:paraId="2F68C850" w14:textId="77777777" w:rsidR="00420598" w:rsidRDefault="00420598"/>
    <w:p w14:paraId="6DB5AECE" w14:textId="129CAE15" w:rsidR="00420598" w:rsidRDefault="00420598" w:rsidP="00420598">
      <w:pPr>
        <w:pStyle w:val="Akapitzlist"/>
        <w:numPr>
          <w:ilvl w:val="0"/>
          <w:numId w:val="1"/>
        </w:numPr>
      </w:pPr>
      <w:r>
        <w:t>Określ rodzaj normy prawnej:</w:t>
      </w:r>
    </w:p>
    <w:p w14:paraId="68CCC60D" w14:textId="77777777" w:rsidR="00420598" w:rsidRDefault="00420598" w:rsidP="00420598">
      <w:pPr>
        <w:pStyle w:val="Akapitzlist"/>
      </w:pPr>
    </w:p>
    <w:p w14:paraId="6868EF1D" w14:textId="61997089" w:rsidR="00420598" w:rsidRDefault="00420598" w:rsidP="00420598">
      <w:r w:rsidRPr="00420598">
        <w:t>Art. 24. § 1</w:t>
      </w:r>
      <w:r>
        <w:t xml:space="preserve"> Kodeksu cywilnego</w:t>
      </w:r>
      <w:r w:rsidRPr="00420598">
        <w:t xml:space="preserve">. Ten, czyje dobro osobiste zostaje zagrożone cudzym działaniem, może żądać zaniechania tego działania, chyba że nie jest ono bezprawne. W razie dokonanego naruszenia może on także żądać, ażeby osoba, która dopuściła się naruszenia, dopełniła czynności potrzebnych do usunięcia jego skutków, w </w:t>
      </w:r>
      <w:proofErr w:type="gramStart"/>
      <w:r w:rsidRPr="00420598">
        <w:t>szczególności</w:t>
      </w:r>
      <w:proofErr w:type="gramEnd"/>
      <w:r w:rsidRPr="00420598">
        <w:t xml:space="preserve"> ażeby złożyła oświadczenie odpowiedniej treści i w odpowiedniej formie. Na zasadach przewidzianych w kodeksie może on również żądać zadośćuczynienia pieniężnego albo zapłaty odpowiedniej sumy pieniężnej na wskazany cel społeczny.</w:t>
      </w:r>
    </w:p>
    <w:p w14:paraId="550D3D79" w14:textId="77777777" w:rsidR="00420598" w:rsidRDefault="00420598" w:rsidP="00420598"/>
    <w:p w14:paraId="1EEB99FB" w14:textId="7782813D" w:rsidR="00420598" w:rsidRPr="00420598" w:rsidRDefault="00420598" w:rsidP="00420598">
      <w:pPr>
        <w:pStyle w:val="Akapitzlist"/>
        <w:numPr>
          <w:ilvl w:val="0"/>
          <w:numId w:val="2"/>
        </w:numPr>
        <w:rPr>
          <w:b/>
          <w:bCs/>
        </w:rPr>
      </w:pPr>
      <w:r w:rsidRPr="00420598">
        <w:rPr>
          <w:b/>
          <w:bCs/>
        </w:rPr>
        <w:t>Imperatywn</w:t>
      </w:r>
      <w:r>
        <w:rPr>
          <w:b/>
          <w:bCs/>
        </w:rPr>
        <w:t>a</w:t>
      </w:r>
      <w:r w:rsidRPr="00420598">
        <w:rPr>
          <w:b/>
          <w:bCs/>
        </w:rPr>
        <w:t xml:space="preserve"> </w:t>
      </w:r>
    </w:p>
    <w:p w14:paraId="1D838A8A" w14:textId="27213654" w:rsidR="00420598" w:rsidRDefault="00420598" w:rsidP="00420598">
      <w:pPr>
        <w:pStyle w:val="Akapitzlist"/>
        <w:numPr>
          <w:ilvl w:val="0"/>
          <w:numId w:val="2"/>
        </w:numPr>
      </w:pPr>
      <w:r>
        <w:t>Dyspozytywna</w:t>
      </w:r>
    </w:p>
    <w:p w14:paraId="04C4A133" w14:textId="418AAF00" w:rsidR="00420598" w:rsidRDefault="00420598" w:rsidP="00420598">
      <w:pPr>
        <w:pStyle w:val="Akapitzlist"/>
        <w:numPr>
          <w:ilvl w:val="0"/>
          <w:numId w:val="2"/>
        </w:numPr>
      </w:pPr>
      <w:proofErr w:type="spellStart"/>
      <w:r>
        <w:t>Semiimperatywna</w:t>
      </w:r>
      <w:proofErr w:type="spellEnd"/>
    </w:p>
    <w:p w14:paraId="0E8ED48C" w14:textId="2B57729D" w:rsidR="0067128D" w:rsidRDefault="0067128D" w:rsidP="00420598">
      <w:pPr>
        <w:pStyle w:val="Akapitzlist"/>
        <w:numPr>
          <w:ilvl w:val="0"/>
          <w:numId w:val="2"/>
        </w:numPr>
      </w:pPr>
      <w:r>
        <w:t>Żadna odpowiedź nie jest poprawna</w:t>
      </w:r>
    </w:p>
    <w:p w14:paraId="3E7544B0" w14:textId="5625871A" w:rsidR="00420598" w:rsidRDefault="00420598" w:rsidP="00420598">
      <w:pPr>
        <w:ind w:left="360"/>
      </w:pPr>
    </w:p>
    <w:p w14:paraId="6A52BBB3" w14:textId="2B6BCFD6" w:rsidR="00420598" w:rsidRDefault="00420598" w:rsidP="00420598">
      <w:pPr>
        <w:pStyle w:val="Akapitzlist"/>
        <w:numPr>
          <w:ilvl w:val="0"/>
          <w:numId w:val="1"/>
        </w:numPr>
      </w:pPr>
      <w:r>
        <w:t>Przeanalizuj i wskaż, czy poniższy tekst jest tekstem prawnym czy prawniczym;</w:t>
      </w:r>
    </w:p>
    <w:p w14:paraId="45CC2BEE" w14:textId="7490E42B" w:rsidR="00420598" w:rsidRDefault="00420598" w:rsidP="00420598">
      <w:pPr>
        <w:rPr>
          <w:rFonts w:ascii="Times New Roman" w:hAnsi="Times New Roman" w:cs="Times New Roman"/>
        </w:rPr>
      </w:pPr>
      <w:r w:rsidRPr="00737009">
        <w:rPr>
          <w:rFonts w:ascii="Times New Roman" w:hAnsi="Times New Roman" w:cs="Times New Roman"/>
        </w:rPr>
        <w:t xml:space="preserve">Dlatego też zasadnym jest podniesienie zarzutu, że przedmiotowa uchwała została wydana w oparciu o ustalenie wyniku na podstawie testu, który budzi wątpliwości od strony merytorycznej poprzez: niejednoznacznie sformułowanie pytań i odpowiedzi lub niepoprawne oznaczenie odpowiedzi w kluczu przygotowanym przez Ministerstwo Sprawiedliwości, co jest sprzeczne z art. 71b § 4 oraz art. 71j § 1, 1a, 1d </w:t>
      </w:r>
      <w:proofErr w:type="spellStart"/>
      <w:r w:rsidRPr="00737009">
        <w:rPr>
          <w:rFonts w:ascii="Times New Roman" w:hAnsi="Times New Roman" w:cs="Times New Roman"/>
        </w:rPr>
        <w:t>PrNot</w:t>
      </w:r>
      <w:proofErr w:type="spellEnd"/>
      <w:r w:rsidRPr="00737009">
        <w:rPr>
          <w:rFonts w:ascii="Times New Roman" w:hAnsi="Times New Roman" w:cs="Times New Roman"/>
        </w:rPr>
        <w:t xml:space="preserve">. w zw. z art. 7 i art. 8 KPA a także art. 77 § 1 KPA. Co więcej, pytania sformułowano w taki sposób, że naruszają normę art. </w:t>
      </w:r>
      <w:r>
        <w:rPr>
          <w:rFonts w:ascii="Times New Roman" w:hAnsi="Times New Roman" w:cs="Times New Roman"/>
        </w:rPr>
        <w:t xml:space="preserve">71b § 4 </w:t>
      </w:r>
      <w:proofErr w:type="spellStart"/>
      <w:r>
        <w:rPr>
          <w:rFonts w:ascii="Times New Roman" w:hAnsi="Times New Roman" w:cs="Times New Roman"/>
        </w:rPr>
        <w:t>PrNot</w:t>
      </w:r>
      <w:proofErr w:type="spellEnd"/>
      <w:r w:rsidRPr="00737009">
        <w:rPr>
          <w:rFonts w:ascii="Times New Roman" w:hAnsi="Times New Roman" w:cs="Times New Roman"/>
        </w:rPr>
        <w:t>, który jednoznacznie przesądza, że test ma polegać na sprawdzeniu wiedzy kandydata na aplikanta, nie zaś jego rozległej znajomości poglądów doktryny, judykatury czy topiki prawniczej. Na omawianym etapie kształcenia byłoby to zupełnie niezasadne. Zaburzałoby też zasadę proporcjonalności.</w:t>
      </w:r>
    </w:p>
    <w:p w14:paraId="5DD449F7" w14:textId="77777777" w:rsidR="00420598" w:rsidRDefault="00420598" w:rsidP="00420598">
      <w:pPr>
        <w:rPr>
          <w:rFonts w:ascii="Times New Roman" w:hAnsi="Times New Roman" w:cs="Times New Roman"/>
        </w:rPr>
      </w:pPr>
    </w:p>
    <w:p w14:paraId="40EADDD7" w14:textId="3CEBD03B" w:rsidR="00420598" w:rsidRDefault="00420598" w:rsidP="00420598">
      <w:pPr>
        <w:rPr>
          <w:rFonts w:ascii="Times New Roman" w:hAnsi="Times New Roman" w:cs="Times New Roman"/>
        </w:rPr>
      </w:pPr>
      <w:r>
        <w:rPr>
          <w:rFonts w:ascii="Times New Roman" w:hAnsi="Times New Roman" w:cs="Times New Roman"/>
        </w:rPr>
        <w:t>Odpowiedź: prawniczy</w:t>
      </w:r>
    </w:p>
    <w:p w14:paraId="48C102EB" w14:textId="77777777" w:rsidR="00420598" w:rsidRDefault="00420598" w:rsidP="00420598">
      <w:pPr>
        <w:rPr>
          <w:rFonts w:ascii="Times New Roman" w:hAnsi="Times New Roman" w:cs="Times New Roman"/>
        </w:rPr>
      </w:pPr>
    </w:p>
    <w:p w14:paraId="3C29705D" w14:textId="5BB53071" w:rsidR="00420598" w:rsidRDefault="00420598" w:rsidP="00420598">
      <w:pPr>
        <w:pStyle w:val="Akapitzlist"/>
        <w:numPr>
          <w:ilvl w:val="0"/>
          <w:numId w:val="1"/>
        </w:numPr>
      </w:pPr>
      <w:r>
        <w:t>Skonstruuj przepis prawny, który będzie zawierał możliwość oceny danej sytuacji poprzez odniesienie się przez adresata normy do pozaprawnego systemu ocen i nazwij użyty środek, który temu służy.</w:t>
      </w:r>
    </w:p>
    <w:p w14:paraId="7796E6A9" w14:textId="6228ABFF" w:rsidR="00420598" w:rsidRDefault="00420598" w:rsidP="00420598"/>
    <w:p w14:paraId="3E028F73" w14:textId="3DFA26F0" w:rsidR="00420598" w:rsidRDefault="00420598" w:rsidP="00420598">
      <w:r>
        <w:t>Odpowiedź: klauzula generalna</w:t>
      </w:r>
    </w:p>
    <w:p w14:paraId="6E7627FE" w14:textId="77777777" w:rsidR="00420598" w:rsidRDefault="00420598" w:rsidP="00420598"/>
    <w:p w14:paraId="1FD7E647" w14:textId="72E65F6E" w:rsidR="00420598" w:rsidRDefault="00420598" w:rsidP="00420598">
      <w:r>
        <w:t>Rada Ministrów wydając rozporządzenie pod uwagę</w:t>
      </w:r>
      <w:r w:rsidR="0067128D">
        <w:t xml:space="preserve"> przesłanki wynikające z zasad współżycia społecznego.</w:t>
      </w:r>
    </w:p>
    <w:p w14:paraId="7DF8E53F" w14:textId="77777777" w:rsidR="0067128D" w:rsidRDefault="0067128D" w:rsidP="00420598"/>
    <w:p w14:paraId="4C1836EA" w14:textId="068FAB86" w:rsidR="0067128D" w:rsidRDefault="0067128D" w:rsidP="0067128D">
      <w:pPr>
        <w:pStyle w:val="Akapitzlist"/>
        <w:numPr>
          <w:ilvl w:val="0"/>
          <w:numId w:val="1"/>
        </w:numPr>
      </w:pPr>
      <w:r>
        <w:t xml:space="preserve">Zdania stwierdzające, że ze względu na treść określonej normy jakieś postępowanie </w:t>
      </w:r>
      <w:proofErr w:type="gramStart"/>
      <w:r>
        <w:t>jest  określony</w:t>
      </w:r>
      <w:proofErr w:type="gramEnd"/>
      <w:r>
        <w:t xml:space="preserve"> podmiotom w pewnych okolicznościach nakazane nazywamy zdaniami:</w:t>
      </w:r>
    </w:p>
    <w:p w14:paraId="1FC925F0" w14:textId="1DD08277" w:rsidR="0067128D" w:rsidRDefault="0067128D" w:rsidP="0067128D">
      <w:pPr>
        <w:pStyle w:val="Akapitzlist"/>
        <w:numPr>
          <w:ilvl w:val="0"/>
          <w:numId w:val="3"/>
        </w:numPr>
      </w:pPr>
      <w:proofErr w:type="spellStart"/>
      <w:r>
        <w:t>Semidypozytywnymi</w:t>
      </w:r>
      <w:proofErr w:type="spellEnd"/>
    </w:p>
    <w:p w14:paraId="735C5226" w14:textId="38BECB90" w:rsidR="0067128D" w:rsidRDefault="0067128D" w:rsidP="0067128D">
      <w:pPr>
        <w:pStyle w:val="Akapitzlist"/>
        <w:numPr>
          <w:ilvl w:val="0"/>
          <w:numId w:val="3"/>
        </w:numPr>
      </w:pPr>
      <w:r>
        <w:t xml:space="preserve">Aksjologicznymi </w:t>
      </w:r>
    </w:p>
    <w:p w14:paraId="7124E7E1" w14:textId="55B056F0" w:rsidR="0067128D" w:rsidRPr="0067128D" w:rsidRDefault="0067128D" w:rsidP="0067128D">
      <w:pPr>
        <w:pStyle w:val="Akapitzlist"/>
        <w:numPr>
          <w:ilvl w:val="0"/>
          <w:numId w:val="3"/>
        </w:numPr>
        <w:rPr>
          <w:b/>
          <w:bCs/>
        </w:rPr>
      </w:pPr>
      <w:r w:rsidRPr="0067128D">
        <w:rPr>
          <w:b/>
          <w:bCs/>
        </w:rPr>
        <w:t xml:space="preserve">Deontycznymi </w:t>
      </w:r>
    </w:p>
    <w:p w14:paraId="5BAA5240" w14:textId="736CFA8A" w:rsidR="0067128D" w:rsidRDefault="0067128D" w:rsidP="0067128D">
      <w:pPr>
        <w:pStyle w:val="Akapitzlist"/>
        <w:numPr>
          <w:ilvl w:val="0"/>
          <w:numId w:val="3"/>
        </w:numPr>
      </w:pPr>
      <w:r>
        <w:t>Prakseologicznymi</w:t>
      </w:r>
    </w:p>
    <w:p w14:paraId="7DD43E7B" w14:textId="77777777" w:rsidR="0067128D" w:rsidRDefault="0067128D" w:rsidP="0067128D"/>
    <w:p w14:paraId="67AE3D7C" w14:textId="1E448766" w:rsidR="0067128D" w:rsidRDefault="0067128D" w:rsidP="0067128D">
      <w:pPr>
        <w:pStyle w:val="Akapitzlist"/>
        <w:numPr>
          <w:ilvl w:val="0"/>
          <w:numId w:val="1"/>
        </w:numPr>
      </w:pPr>
      <w:r>
        <w:t>Przepis blankietowy:</w:t>
      </w:r>
    </w:p>
    <w:p w14:paraId="5F6B1A0A" w14:textId="309A81D4" w:rsidR="0067128D" w:rsidRDefault="0067128D" w:rsidP="0067128D">
      <w:pPr>
        <w:pStyle w:val="Akapitzlist"/>
        <w:numPr>
          <w:ilvl w:val="0"/>
          <w:numId w:val="4"/>
        </w:numPr>
      </w:pPr>
      <w:r>
        <w:lastRenderedPageBreak/>
        <w:t>Nie powinien być stosowany przez prawodawcę</w:t>
      </w:r>
    </w:p>
    <w:p w14:paraId="1126533B" w14:textId="63026998" w:rsidR="0067128D" w:rsidRPr="0067128D" w:rsidRDefault="0067128D" w:rsidP="0067128D">
      <w:pPr>
        <w:pStyle w:val="Akapitzlist"/>
        <w:numPr>
          <w:ilvl w:val="0"/>
          <w:numId w:val="4"/>
        </w:numPr>
        <w:rPr>
          <w:b/>
          <w:bCs/>
        </w:rPr>
      </w:pPr>
      <w:r w:rsidRPr="0067128D">
        <w:rPr>
          <w:b/>
          <w:bCs/>
        </w:rPr>
        <w:t xml:space="preserve">Jest jedną z form przepisów prawnych dopuszczalnych </w:t>
      </w:r>
      <w:r>
        <w:rPr>
          <w:b/>
          <w:bCs/>
        </w:rPr>
        <w:t xml:space="preserve">przez </w:t>
      </w:r>
      <w:r w:rsidRPr="0067128D">
        <w:rPr>
          <w:b/>
          <w:bCs/>
        </w:rPr>
        <w:t>techni</w:t>
      </w:r>
      <w:r>
        <w:rPr>
          <w:b/>
          <w:bCs/>
        </w:rPr>
        <w:t>kę</w:t>
      </w:r>
      <w:r w:rsidRPr="0067128D">
        <w:rPr>
          <w:b/>
          <w:bCs/>
        </w:rPr>
        <w:t xml:space="preserve"> prawodawcz</w:t>
      </w:r>
      <w:r>
        <w:rPr>
          <w:b/>
          <w:bCs/>
        </w:rPr>
        <w:t>ą</w:t>
      </w:r>
    </w:p>
    <w:p w14:paraId="46B98640" w14:textId="72B79386" w:rsidR="0067128D" w:rsidRDefault="0067128D" w:rsidP="0067128D">
      <w:pPr>
        <w:pStyle w:val="Akapitzlist"/>
        <w:numPr>
          <w:ilvl w:val="0"/>
          <w:numId w:val="4"/>
        </w:numPr>
      </w:pPr>
      <w:r>
        <w:t>Jest zakazany przez Zasady techniki prawodawczej</w:t>
      </w:r>
    </w:p>
    <w:p w14:paraId="6C834F07" w14:textId="7D576ED9" w:rsidR="0067128D" w:rsidRDefault="0067128D" w:rsidP="0067128D">
      <w:pPr>
        <w:pStyle w:val="Akapitzlist"/>
        <w:numPr>
          <w:ilvl w:val="0"/>
          <w:numId w:val="4"/>
        </w:numPr>
      </w:pPr>
      <w:r>
        <w:t>Nie występuje w polskim systemie prawnym</w:t>
      </w:r>
    </w:p>
    <w:p w14:paraId="04DD9BB4" w14:textId="77777777" w:rsidR="002A778B" w:rsidRDefault="002A778B" w:rsidP="002A778B"/>
    <w:p w14:paraId="290DE7FF" w14:textId="77777777" w:rsidR="002A778B" w:rsidRDefault="002A778B" w:rsidP="002A778B"/>
    <w:p w14:paraId="67FD3A73" w14:textId="1CBA4D1A" w:rsidR="002A778B" w:rsidRDefault="002A778B" w:rsidP="002A778B">
      <w:pPr>
        <w:pStyle w:val="Akapitzlist"/>
        <w:numPr>
          <w:ilvl w:val="0"/>
          <w:numId w:val="1"/>
        </w:numPr>
      </w:pPr>
      <w:r>
        <w:t>Opisz językiem prawniczym poniższy przepis prawny:</w:t>
      </w:r>
    </w:p>
    <w:p w14:paraId="77B2452E" w14:textId="687A0825" w:rsidR="002A778B" w:rsidRDefault="002A778B" w:rsidP="002A778B">
      <w:r w:rsidRPr="002A778B">
        <w:t>Art. 98 ust. 1 Konstytucji RP: Sejm i Senat są wybierane na czteroletnie kadencje. Kadencje Sejmu i Senatu rozpoczynają się z dniem zebrania się Sejmu na pierwsze posiedzenie i trwają do dnia poprzedzającego dzień zebrania się Sejmu następnej kadencji.</w:t>
      </w:r>
    </w:p>
    <w:p w14:paraId="4676528F" w14:textId="77777777" w:rsidR="002A778B" w:rsidRDefault="002A778B" w:rsidP="002A778B"/>
    <w:p w14:paraId="65D903BD" w14:textId="6F1B048D" w:rsidR="002A778B" w:rsidRDefault="002A778B" w:rsidP="002A778B">
      <w:r>
        <w:t>Przykład odpowiedzi: Zgodnie z art. 98 ust. 1 Konstytucji RP kadencje Sejmu i Senatu trwają cztery lata. Kadencja rozpoczyna się z dniem pierwszego posiedzenia Sejmu i trwa do dnia poprzedzającego dzień zebrania się Sejmu następnej kadencji. W polskim systemie prawnym kadencja Senatu jest uwarunkowana trwaniem kadencji Sejmu.</w:t>
      </w:r>
    </w:p>
    <w:sectPr w:rsidR="002A7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2AF0"/>
    <w:multiLevelType w:val="hybridMultilevel"/>
    <w:tmpl w:val="03FA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E6239B"/>
    <w:multiLevelType w:val="hybridMultilevel"/>
    <w:tmpl w:val="49747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7F447C"/>
    <w:multiLevelType w:val="hybridMultilevel"/>
    <w:tmpl w:val="D28E0C3E"/>
    <w:lvl w:ilvl="0" w:tplc="AC1AF7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E7E7D4F"/>
    <w:multiLevelType w:val="hybridMultilevel"/>
    <w:tmpl w:val="B602D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11594">
    <w:abstractNumId w:val="0"/>
  </w:num>
  <w:num w:numId="2" w16cid:durableId="417337106">
    <w:abstractNumId w:val="3"/>
  </w:num>
  <w:num w:numId="3" w16cid:durableId="1442408008">
    <w:abstractNumId w:val="1"/>
  </w:num>
  <w:num w:numId="4" w16cid:durableId="64161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98"/>
    <w:rsid w:val="001729F0"/>
    <w:rsid w:val="002A778B"/>
    <w:rsid w:val="00420598"/>
    <w:rsid w:val="0067128D"/>
    <w:rsid w:val="00F95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93287B"/>
  <w15:chartTrackingRefBased/>
  <w15:docId w15:val="{480E19EC-76A8-1E41-A881-70F1BC4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442</Words>
  <Characters>2654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Stępniak</dc:creator>
  <cp:keywords/>
  <dc:description/>
  <cp:lastModifiedBy>Kamil Stępniak</cp:lastModifiedBy>
  <cp:revision>2</cp:revision>
  <dcterms:created xsi:type="dcterms:W3CDTF">2023-12-14T00:47:00Z</dcterms:created>
  <dcterms:modified xsi:type="dcterms:W3CDTF">2023-12-14T01:13:00Z</dcterms:modified>
</cp:coreProperties>
</file>